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F530E0" w14:textId="77777777" w:rsidR="00811907" w:rsidRDefault="00811907"/>
    <w:p w14:paraId="11B5BC6A" w14:textId="58E68773" w:rsidR="0085334A" w:rsidRPr="0085334A" w:rsidRDefault="0085334A">
      <w:pPr>
        <w:rPr>
          <w:sz w:val="24"/>
          <w:szCs w:val="20"/>
        </w:rPr>
      </w:pPr>
      <w:r w:rsidRPr="0085334A">
        <w:rPr>
          <w:sz w:val="24"/>
          <w:szCs w:val="20"/>
        </w:rPr>
        <w:t>Załącznik nr 1 do zapytania DZ/DZ-072-</w:t>
      </w:r>
      <w:r w:rsidR="00153EC8">
        <w:rPr>
          <w:sz w:val="24"/>
          <w:szCs w:val="20"/>
        </w:rPr>
        <w:t>39</w:t>
      </w:r>
      <w:bookmarkStart w:id="0" w:name="_GoBack"/>
      <w:bookmarkEnd w:id="0"/>
      <w:r w:rsidRPr="0085334A">
        <w:rPr>
          <w:sz w:val="24"/>
          <w:szCs w:val="20"/>
        </w:rPr>
        <w:t>/26</w:t>
      </w:r>
    </w:p>
    <w:p w14:paraId="43DC2DB8" w14:textId="7FF62A8B" w:rsidR="00811907" w:rsidRPr="0085334A" w:rsidRDefault="00C73CA5">
      <w:pPr>
        <w:rPr>
          <w:rFonts w:cstheme="minorHAnsi"/>
          <w:sz w:val="24"/>
        </w:rPr>
      </w:pPr>
      <w:r w:rsidRPr="0085334A">
        <w:rPr>
          <w:rFonts w:cstheme="minorHAnsi"/>
          <w:sz w:val="24"/>
        </w:rPr>
        <w:t>Zestaw odczynników do sekwencjonowania na sekwenatorze PromethION24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3119"/>
        <w:gridCol w:w="1417"/>
        <w:gridCol w:w="1418"/>
        <w:gridCol w:w="1559"/>
        <w:gridCol w:w="1559"/>
        <w:gridCol w:w="1134"/>
        <w:gridCol w:w="1418"/>
        <w:gridCol w:w="1666"/>
      </w:tblGrid>
      <w:tr w:rsidR="00D60C5B" w:rsidRPr="00787E4B" w14:paraId="0420B354" w14:textId="1F70D4E3" w:rsidTr="00153EC8">
        <w:trPr>
          <w:tblHeader/>
        </w:trPr>
        <w:tc>
          <w:tcPr>
            <w:tcW w:w="704" w:type="dxa"/>
            <w:shd w:val="clear" w:color="auto" w:fill="BFBFBF" w:themeFill="background1" w:themeFillShade="BF"/>
            <w:vAlign w:val="center"/>
          </w:tcPr>
          <w:p w14:paraId="70D2D02C" w14:textId="77777777" w:rsidR="00845209" w:rsidRPr="00787E4B" w:rsidRDefault="00845209" w:rsidP="00845209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787E4B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 xml:space="preserve">Lp. </w:t>
            </w:r>
          </w:p>
        </w:tc>
        <w:tc>
          <w:tcPr>
            <w:tcW w:w="3119" w:type="dxa"/>
            <w:shd w:val="clear" w:color="auto" w:fill="BFBFBF" w:themeFill="background1" w:themeFillShade="BF"/>
          </w:tcPr>
          <w:p w14:paraId="3C8B21B7" w14:textId="77777777" w:rsidR="00845209" w:rsidRPr="00787E4B" w:rsidRDefault="00845209" w:rsidP="00845209">
            <w:pPr>
              <w:pStyle w:val="Default"/>
              <w:rPr>
                <w:rFonts w:asciiTheme="majorHAnsi" w:hAnsiTheme="majorHAnsi" w:cstheme="majorHAnsi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861"/>
            </w:tblGrid>
            <w:tr w:rsidR="00845209" w:rsidRPr="00787E4B" w14:paraId="5159C23D" w14:textId="77777777" w:rsidTr="0085334A">
              <w:trPr>
                <w:trHeight w:val="457"/>
              </w:trPr>
              <w:tc>
                <w:tcPr>
                  <w:tcW w:w="1861" w:type="dxa"/>
                </w:tcPr>
                <w:p w14:paraId="40993A2E" w14:textId="7F993AF7" w:rsidR="00845209" w:rsidRPr="00787E4B" w:rsidRDefault="00845209" w:rsidP="00845209">
                  <w:pPr>
                    <w:pStyle w:val="Default"/>
                    <w:rPr>
                      <w:rFonts w:asciiTheme="majorHAnsi" w:hAnsiTheme="majorHAnsi" w:cstheme="majorHAnsi"/>
                    </w:rPr>
                  </w:pPr>
                  <w:r w:rsidRPr="00787E4B">
                    <w:rPr>
                      <w:rFonts w:asciiTheme="majorHAnsi" w:eastAsia="Times New Roman" w:hAnsiTheme="majorHAnsi" w:cstheme="majorHAnsi"/>
                      <w:lang w:eastAsia="pl-PL"/>
                    </w:rPr>
                    <w:t>Opis przedmiotu zamówienia</w:t>
                  </w:r>
                </w:p>
              </w:tc>
            </w:tr>
          </w:tbl>
          <w:p w14:paraId="62890A23" w14:textId="6959FEA6" w:rsidR="00845209" w:rsidRPr="00787E4B" w:rsidRDefault="00845209" w:rsidP="00845209">
            <w:pPr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14:paraId="3E56DF1F" w14:textId="2528F35F" w:rsidR="00845209" w:rsidRPr="00787E4B" w:rsidRDefault="00845209" w:rsidP="00845209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787E4B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 xml:space="preserve">J m. 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14:paraId="25BA6C26" w14:textId="14770FA6" w:rsidR="00845209" w:rsidRPr="00787E4B" w:rsidRDefault="00845209" w:rsidP="00845209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787E4B">
              <w:rPr>
                <w:rFonts w:asciiTheme="majorHAnsi" w:hAnsiTheme="majorHAnsi" w:cstheme="majorHAnsi"/>
                <w:sz w:val="24"/>
                <w:szCs w:val="24"/>
              </w:rPr>
              <w:t>Zamawiana ilość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7BD3B702" w14:textId="01C7631D" w:rsidR="00845209" w:rsidRPr="00787E4B" w:rsidRDefault="00845209" w:rsidP="0084520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87E4B">
              <w:rPr>
                <w:rFonts w:asciiTheme="majorHAnsi" w:hAnsiTheme="majorHAnsi" w:cstheme="majorHAnsi"/>
                <w:sz w:val="24"/>
                <w:szCs w:val="24"/>
              </w:rPr>
              <w:t xml:space="preserve">Cena jednostkowa netto (PLN) 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37BBB9E6" w14:textId="32BC7CFB" w:rsidR="00845209" w:rsidRPr="00787E4B" w:rsidRDefault="00845209" w:rsidP="0084520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87E4B">
              <w:rPr>
                <w:rFonts w:asciiTheme="majorHAnsi" w:hAnsiTheme="majorHAnsi" w:cstheme="majorHAnsi"/>
                <w:sz w:val="24"/>
                <w:szCs w:val="24"/>
              </w:rPr>
              <w:t xml:space="preserve">Wartość netto (PLN) 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6353D5A4" w14:textId="50A2E7E8" w:rsidR="00845209" w:rsidRPr="00787E4B" w:rsidRDefault="00845209" w:rsidP="0084520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87E4B">
              <w:rPr>
                <w:rFonts w:asciiTheme="majorHAnsi" w:hAnsiTheme="majorHAnsi" w:cstheme="majorHAnsi"/>
                <w:sz w:val="24"/>
                <w:szCs w:val="24"/>
              </w:rPr>
              <w:t xml:space="preserve">VAT 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14:paraId="377529E5" w14:textId="44DC0C9A" w:rsidR="00845209" w:rsidRPr="00787E4B" w:rsidRDefault="00845209" w:rsidP="0084520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87E4B">
              <w:rPr>
                <w:rFonts w:asciiTheme="majorHAnsi" w:hAnsiTheme="majorHAnsi" w:cstheme="majorHAnsi"/>
                <w:sz w:val="24"/>
                <w:szCs w:val="24"/>
              </w:rPr>
              <w:t xml:space="preserve">Wartość brutto (PLN) </w:t>
            </w:r>
          </w:p>
        </w:tc>
        <w:tc>
          <w:tcPr>
            <w:tcW w:w="1666" w:type="dxa"/>
            <w:shd w:val="clear" w:color="auto" w:fill="BFBFBF" w:themeFill="background1" w:themeFillShade="BF"/>
          </w:tcPr>
          <w:p w14:paraId="40605424" w14:textId="77777777" w:rsidR="00845209" w:rsidRPr="00787E4B" w:rsidRDefault="00845209" w:rsidP="00845209">
            <w:pPr>
              <w:pStyle w:val="Default"/>
              <w:rPr>
                <w:rFonts w:asciiTheme="majorHAnsi" w:hAnsiTheme="majorHAnsi" w:cstheme="majorHAnsi"/>
              </w:rPr>
            </w:pPr>
            <w:r w:rsidRPr="00787E4B">
              <w:rPr>
                <w:rFonts w:asciiTheme="majorHAnsi" w:hAnsiTheme="majorHAnsi" w:cstheme="majorHAnsi"/>
              </w:rPr>
              <w:t xml:space="preserve">Producent i nr katalogowy </w:t>
            </w:r>
          </w:p>
          <w:p w14:paraId="46A3C981" w14:textId="4A88D2A7" w:rsidR="00845209" w:rsidRPr="00787E4B" w:rsidRDefault="00845209" w:rsidP="0084520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87E4B">
              <w:rPr>
                <w:rFonts w:asciiTheme="majorHAnsi" w:hAnsiTheme="majorHAnsi" w:cstheme="majorHAnsi"/>
                <w:sz w:val="24"/>
                <w:szCs w:val="24"/>
              </w:rPr>
              <w:t xml:space="preserve">zaoferowanego produktu </w:t>
            </w:r>
          </w:p>
        </w:tc>
      </w:tr>
      <w:tr w:rsidR="00787E4B" w:rsidRPr="00787E4B" w14:paraId="79BB3018" w14:textId="147626D1" w:rsidTr="00153EC8">
        <w:tc>
          <w:tcPr>
            <w:tcW w:w="704" w:type="dxa"/>
          </w:tcPr>
          <w:p w14:paraId="2B4AC699" w14:textId="25C45546" w:rsidR="00845209" w:rsidRPr="00787E4B" w:rsidRDefault="00845209" w:rsidP="00787E4B">
            <w:pPr>
              <w:pStyle w:val="Akapitzlist"/>
              <w:numPr>
                <w:ilvl w:val="0"/>
                <w:numId w:val="1"/>
              </w:numPr>
              <w:ind w:left="357" w:hanging="357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2A6EC79" w14:textId="77777777" w:rsidR="00845209" w:rsidRPr="00787E4B" w:rsidRDefault="00845209" w:rsidP="00845209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787E4B">
              <w:rPr>
                <w:rFonts w:asciiTheme="majorHAnsi" w:eastAsia="Times New Roman" w:hAnsiTheme="majorHAnsi" w:cstheme="majorHAnsi"/>
                <w:b/>
                <w:color w:val="000000"/>
                <w:sz w:val="24"/>
                <w:szCs w:val="24"/>
                <w:lang w:eastAsia="pl-PL"/>
              </w:rPr>
              <w:t>PromethION</w:t>
            </w:r>
            <w:proofErr w:type="spellEnd"/>
            <w:r w:rsidRPr="00787E4B">
              <w:rPr>
                <w:rFonts w:asciiTheme="majorHAnsi" w:eastAsia="Times New Roman" w:hAnsiTheme="majorHAnsi" w:cstheme="majorHAnsi"/>
                <w:b/>
                <w:color w:val="000000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787E4B">
              <w:rPr>
                <w:rFonts w:asciiTheme="majorHAnsi" w:eastAsia="Times New Roman" w:hAnsiTheme="majorHAnsi" w:cstheme="majorHAnsi"/>
                <w:b/>
                <w:color w:val="000000"/>
                <w:sz w:val="24"/>
                <w:szCs w:val="24"/>
                <w:lang w:eastAsia="pl-PL"/>
              </w:rPr>
              <w:t>Flow</w:t>
            </w:r>
            <w:proofErr w:type="spellEnd"/>
            <w:r w:rsidRPr="00787E4B">
              <w:rPr>
                <w:rFonts w:asciiTheme="majorHAnsi" w:eastAsia="Times New Roman" w:hAnsiTheme="majorHAnsi" w:cstheme="majorHAnsi"/>
                <w:b/>
                <w:color w:val="000000"/>
                <w:sz w:val="24"/>
                <w:szCs w:val="24"/>
                <w:lang w:eastAsia="pl-PL"/>
              </w:rPr>
              <w:t xml:space="preserve"> Cell R10.4.1 (M version) 4pack  (nr katalogowy 1O-FLO-PRO114M) lub równoważny </w:t>
            </w:r>
            <w:proofErr w:type="spellStart"/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FlowCell</w:t>
            </w:r>
            <w:proofErr w:type="spellEnd"/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do zastosowania w sekwencjonowaniu z użyciem sekwenatora PromethION24 (ONT). Materiał do sekwencjonowania: DNA. </w:t>
            </w:r>
            <w:proofErr w:type="spellStart"/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FlowCell</w:t>
            </w:r>
            <w:proofErr w:type="spellEnd"/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wykorzystuje technologię </w:t>
            </w:r>
            <w:proofErr w:type="spellStart"/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nanoporów</w:t>
            </w:r>
            <w:proofErr w:type="spellEnd"/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R10 (lub nowszą) i jest kompatybilna z zestawami V14 (ONT) lub równoważne. </w:t>
            </w:r>
          </w:p>
          <w:p w14:paraId="6EB19CEB" w14:textId="48CAB061" w:rsidR="00845209" w:rsidRPr="00787E4B" w:rsidRDefault="00845209" w:rsidP="00845209">
            <w:pPr>
              <w:rPr>
                <w:rFonts w:asciiTheme="majorHAnsi" w:eastAsia="Times New Roman" w:hAnsiTheme="majorHAnsi" w:cstheme="majorHAnsi"/>
                <w:b/>
                <w:color w:val="000000"/>
                <w:sz w:val="24"/>
                <w:szCs w:val="24"/>
                <w:lang w:eastAsia="pl-PL"/>
              </w:rPr>
            </w:pPr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lastRenderedPageBreak/>
              <w:t>Równoważność oznacza, że zaproponowany odczynnik  jest kompatybilny z aparatem PromethION24 (ONT) i spełnia opisane wymagania.</w:t>
            </w:r>
          </w:p>
        </w:tc>
        <w:tc>
          <w:tcPr>
            <w:tcW w:w="1417" w:type="dxa"/>
          </w:tcPr>
          <w:p w14:paraId="60BBD30B" w14:textId="615E1BF9" w:rsidR="00845209" w:rsidRPr="00787E4B" w:rsidRDefault="00787E4B" w:rsidP="00845209">
            <w:pPr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lastRenderedPageBreak/>
              <w:t>Op.</w:t>
            </w:r>
          </w:p>
          <w:p w14:paraId="2EDDCC32" w14:textId="076D7986" w:rsidR="00787E4B" w:rsidRPr="00787E4B" w:rsidRDefault="00787E4B" w:rsidP="0084520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87E4B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(1op.= 4szt.)</w:t>
            </w:r>
          </w:p>
        </w:tc>
        <w:tc>
          <w:tcPr>
            <w:tcW w:w="1418" w:type="dxa"/>
          </w:tcPr>
          <w:p w14:paraId="0DEF7881" w14:textId="36A00B0D" w:rsidR="00845209" w:rsidRPr="00787E4B" w:rsidRDefault="00845209" w:rsidP="00845209">
            <w:pPr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787E4B">
              <w:rPr>
                <w:rFonts w:asciiTheme="majorHAnsi" w:hAnsiTheme="majorHAnsi" w:cstheme="majorHAnsi"/>
                <w:sz w:val="24"/>
                <w:szCs w:val="24"/>
              </w:rPr>
              <w:t>100 opakowań</w:t>
            </w:r>
          </w:p>
        </w:tc>
        <w:tc>
          <w:tcPr>
            <w:tcW w:w="1559" w:type="dxa"/>
          </w:tcPr>
          <w:p w14:paraId="36EE9447" w14:textId="1B88E969" w:rsidR="00845209" w:rsidRPr="00787E4B" w:rsidRDefault="00845209" w:rsidP="0084520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0DBB2EA" w14:textId="77777777" w:rsidR="00845209" w:rsidRPr="00787E4B" w:rsidRDefault="00845209" w:rsidP="0084520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4D3AF90" w14:textId="37D77CCE" w:rsidR="00845209" w:rsidRPr="00787E4B" w:rsidRDefault="00845209" w:rsidP="0084520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8FDC0CF" w14:textId="2237E187" w:rsidR="00845209" w:rsidRPr="00787E4B" w:rsidRDefault="00845209" w:rsidP="0084520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666" w:type="dxa"/>
          </w:tcPr>
          <w:p w14:paraId="13BBE84F" w14:textId="50F9681C" w:rsidR="00845209" w:rsidRPr="00787E4B" w:rsidRDefault="00845209" w:rsidP="0084520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D60C5B" w:rsidRPr="00787E4B" w14:paraId="412F40DB" w14:textId="2ACBE402" w:rsidTr="00153EC8">
        <w:tc>
          <w:tcPr>
            <w:tcW w:w="704" w:type="dxa"/>
          </w:tcPr>
          <w:p w14:paraId="1D3113CA" w14:textId="6290F40B" w:rsidR="00787E4B" w:rsidRPr="00787E4B" w:rsidRDefault="00787E4B" w:rsidP="00787E4B">
            <w:pPr>
              <w:pStyle w:val="Akapitzlist"/>
              <w:numPr>
                <w:ilvl w:val="0"/>
                <w:numId w:val="1"/>
              </w:numPr>
              <w:ind w:left="357" w:hanging="357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9" w:type="dxa"/>
          </w:tcPr>
          <w:p w14:paraId="68690FF0" w14:textId="77777777" w:rsidR="00787E4B" w:rsidRPr="00787E4B" w:rsidRDefault="00787E4B" w:rsidP="00845209">
            <w:pPr>
              <w:rPr>
                <w:rFonts w:asciiTheme="majorHAnsi" w:eastAsia="Times New Roman" w:hAnsiTheme="majorHAnsi" w:cstheme="majorHAnsi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787E4B">
              <w:rPr>
                <w:rFonts w:asciiTheme="majorHAnsi" w:hAnsiTheme="majorHAnsi" w:cstheme="majorHAnsi"/>
                <w:b/>
                <w:sz w:val="24"/>
                <w:szCs w:val="24"/>
              </w:rPr>
              <w:t>PromethION</w:t>
            </w:r>
            <w:proofErr w:type="spellEnd"/>
            <w:r w:rsidRPr="00787E4B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787E4B">
              <w:rPr>
                <w:rFonts w:asciiTheme="majorHAnsi" w:hAnsiTheme="majorHAnsi" w:cstheme="majorHAnsi"/>
                <w:b/>
                <w:sz w:val="24"/>
                <w:szCs w:val="24"/>
              </w:rPr>
              <w:t>Flow</w:t>
            </w:r>
            <w:proofErr w:type="spellEnd"/>
            <w:r w:rsidRPr="00787E4B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Cell RNA 4pack (nr katalogowy 1O-FLO-PRO004RA)</w:t>
            </w:r>
            <w:r w:rsidRPr="00787E4B">
              <w:rPr>
                <w:rFonts w:asciiTheme="majorHAnsi" w:eastAsia="Times New Roman" w:hAnsiTheme="majorHAnsi" w:cstheme="majorHAnsi"/>
                <w:b/>
                <w:color w:val="000000"/>
                <w:sz w:val="24"/>
                <w:szCs w:val="24"/>
                <w:lang w:eastAsia="pl-PL"/>
              </w:rPr>
              <w:t xml:space="preserve"> lub równoważny</w:t>
            </w:r>
          </w:p>
          <w:p w14:paraId="368942FE" w14:textId="709A2067" w:rsidR="00787E4B" w:rsidRPr="00787E4B" w:rsidRDefault="00787E4B" w:rsidP="00787E4B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FlowCell</w:t>
            </w:r>
            <w:proofErr w:type="spellEnd"/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do zastosowania w sekwencjonowaniu z użyciem sekwenatora PromethION24. Materiał do sekwencjonowania: RNA. </w:t>
            </w:r>
            <w:proofErr w:type="spellStart"/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FlowCell</w:t>
            </w:r>
            <w:proofErr w:type="spellEnd"/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jest kompatybilna z zestawami Direct RNA </w:t>
            </w:r>
            <w:proofErr w:type="spellStart"/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Sequencing</w:t>
            </w:r>
            <w:proofErr w:type="spellEnd"/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Kit (SQK-RNA004), Direct RNA </w:t>
            </w:r>
            <w:proofErr w:type="spellStart"/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Sequencing</w:t>
            </w:r>
            <w:proofErr w:type="spellEnd"/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Kit XL (SQK-</w:t>
            </w:r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lastRenderedPageBreak/>
              <w:t xml:space="preserve">RNA004-XL) (ONT) lub równoważne. </w:t>
            </w:r>
          </w:p>
          <w:p w14:paraId="7ED0E4A7" w14:textId="4ADBE2D7" w:rsidR="00787E4B" w:rsidRPr="00787E4B" w:rsidRDefault="00787E4B" w:rsidP="00787E4B">
            <w:pPr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Równoważność oznacza, że zaproponowany odczynnik  jest kompatybilny z aparatem PromethION24 (ONT) i spełnia opisane wymagania.</w:t>
            </w:r>
          </w:p>
        </w:tc>
        <w:tc>
          <w:tcPr>
            <w:tcW w:w="1417" w:type="dxa"/>
          </w:tcPr>
          <w:p w14:paraId="5C2A78A0" w14:textId="237E9DC4" w:rsidR="00787E4B" w:rsidRPr="00CE1D2F" w:rsidRDefault="00787E4B" w:rsidP="00787E4B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lastRenderedPageBreak/>
              <w:t xml:space="preserve"> </w:t>
            </w:r>
            <w:r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Op.</w:t>
            </w:r>
          </w:p>
          <w:p w14:paraId="2EE0C451" w14:textId="64627C26" w:rsidR="00787E4B" w:rsidRPr="00787E4B" w:rsidRDefault="00787E4B" w:rsidP="00787E4B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87E4B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(1op.= 4szt.)</w:t>
            </w:r>
          </w:p>
        </w:tc>
        <w:tc>
          <w:tcPr>
            <w:tcW w:w="1418" w:type="dxa"/>
          </w:tcPr>
          <w:p w14:paraId="7FD835C2" w14:textId="17541C74" w:rsidR="00787E4B" w:rsidRPr="00787E4B" w:rsidRDefault="00787E4B" w:rsidP="0084520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87E4B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25 </w:t>
            </w:r>
            <w:r w:rsidRPr="00787E4B">
              <w:rPr>
                <w:rFonts w:asciiTheme="majorHAnsi" w:hAnsiTheme="majorHAnsi" w:cstheme="majorHAnsi"/>
                <w:sz w:val="24"/>
                <w:szCs w:val="24"/>
              </w:rPr>
              <w:t>opakowań</w:t>
            </w:r>
          </w:p>
        </w:tc>
        <w:tc>
          <w:tcPr>
            <w:tcW w:w="1559" w:type="dxa"/>
          </w:tcPr>
          <w:p w14:paraId="2493479E" w14:textId="1012E81B" w:rsidR="00787E4B" w:rsidRPr="00787E4B" w:rsidRDefault="00787E4B" w:rsidP="0084520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2978A99F" w14:textId="77777777" w:rsidR="00787E4B" w:rsidRPr="00787E4B" w:rsidRDefault="00787E4B" w:rsidP="0084520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09BCBF66" w14:textId="676BB12B" w:rsidR="00787E4B" w:rsidRPr="00787E4B" w:rsidRDefault="00787E4B" w:rsidP="0084520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3181A669" w14:textId="58031801" w:rsidR="00787E4B" w:rsidRPr="00787E4B" w:rsidRDefault="00787E4B" w:rsidP="0084520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666" w:type="dxa"/>
          </w:tcPr>
          <w:p w14:paraId="6AF6FB3D" w14:textId="47C09052" w:rsidR="00787E4B" w:rsidRPr="00787E4B" w:rsidRDefault="00787E4B" w:rsidP="0084520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D60C5B" w:rsidRPr="00787E4B" w14:paraId="47267C85" w14:textId="20113D30" w:rsidTr="00153EC8">
        <w:tc>
          <w:tcPr>
            <w:tcW w:w="704" w:type="dxa"/>
          </w:tcPr>
          <w:p w14:paraId="4CD7DDD6" w14:textId="428D580B" w:rsidR="00787E4B" w:rsidRPr="00787E4B" w:rsidRDefault="00787E4B" w:rsidP="00787E4B">
            <w:pPr>
              <w:pStyle w:val="Akapitzlist"/>
              <w:numPr>
                <w:ilvl w:val="0"/>
                <w:numId w:val="1"/>
              </w:numPr>
              <w:ind w:left="357" w:hanging="357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</w:tcPr>
          <w:p w14:paraId="7BC28FC1" w14:textId="77777777" w:rsidR="00787E4B" w:rsidRPr="00787E4B" w:rsidRDefault="00787E4B" w:rsidP="00787E4B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787E4B">
              <w:rPr>
                <w:rFonts w:asciiTheme="majorHAnsi" w:eastAsia="Times New Roman" w:hAnsiTheme="majorHAnsi" w:cstheme="majorHAnsi"/>
                <w:b/>
                <w:color w:val="000000"/>
                <w:sz w:val="24"/>
                <w:szCs w:val="24"/>
                <w:lang w:eastAsia="pl-PL"/>
              </w:rPr>
              <w:t>Ligation</w:t>
            </w:r>
            <w:proofErr w:type="spellEnd"/>
            <w:r w:rsidRPr="00787E4B">
              <w:rPr>
                <w:rFonts w:asciiTheme="majorHAnsi" w:eastAsia="Times New Roman" w:hAnsiTheme="majorHAnsi" w:cstheme="majorHAnsi"/>
                <w:b/>
                <w:color w:val="000000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787E4B">
              <w:rPr>
                <w:rFonts w:asciiTheme="majorHAnsi" w:eastAsia="Times New Roman" w:hAnsiTheme="majorHAnsi" w:cstheme="majorHAnsi"/>
                <w:b/>
                <w:color w:val="000000"/>
                <w:sz w:val="24"/>
                <w:szCs w:val="24"/>
                <w:lang w:eastAsia="pl-PL"/>
              </w:rPr>
              <w:t>Sequencing</w:t>
            </w:r>
            <w:proofErr w:type="spellEnd"/>
            <w:r w:rsidRPr="00787E4B">
              <w:rPr>
                <w:rFonts w:asciiTheme="majorHAnsi" w:eastAsia="Times New Roman" w:hAnsiTheme="majorHAnsi" w:cstheme="majorHAnsi"/>
                <w:b/>
                <w:color w:val="000000"/>
                <w:sz w:val="24"/>
                <w:szCs w:val="24"/>
                <w:lang w:eastAsia="pl-PL"/>
              </w:rPr>
              <w:t xml:space="preserve"> Kit XL V14 (nr katalogowy 1O-SQK-LSK114-XL) lub równoważny</w:t>
            </w:r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</w:t>
            </w:r>
          </w:p>
          <w:p w14:paraId="441B2186" w14:textId="7211EC33" w:rsidR="00787E4B" w:rsidRPr="00787E4B" w:rsidRDefault="00787E4B" w:rsidP="00787E4B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Zestaw służący do przygotowania bibliotek z materiału </w:t>
            </w:r>
            <w:proofErr w:type="spellStart"/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dsDNA</w:t>
            </w:r>
            <w:proofErr w:type="spellEnd"/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(dwuniciowe DNA) do sekwencjonowania na sekwenatorze PromethION24 (ONT). PCR nie jest wymagany. </w:t>
            </w:r>
          </w:p>
          <w:p w14:paraId="10663123" w14:textId="5FE1D962" w:rsidR="00787E4B" w:rsidRPr="00787E4B" w:rsidRDefault="00787E4B" w:rsidP="00787E4B">
            <w:pPr>
              <w:rPr>
                <w:rFonts w:asciiTheme="majorHAnsi" w:eastAsia="Times New Roman" w:hAnsiTheme="majorHAnsi" w:cstheme="majorHAnsi"/>
                <w:b/>
                <w:color w:val="000000"/>
                <w:sz w:val="24"/>
                <w:szCs w:val="24"/>
                <w:lang w:eastAsia="pl-PL"/>
              </w:rPr>
            </w:pPr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lastRenderedPageBreak/>
              <w:t>Równoważność oznacza, że zaproponowany odczynnik  jest kompatybilny z aparatem PromethION24 (ONT) i spełnia opisane wymagania.</w:t>
            </w:r>
          </w:p>
        </w:tc>
        <w:tc>
          <w:tcPr>
            <w:tcW w:w="1417" w:type="dxa"/>
          </w:tcPr>
          <w:p w14:paraId="0208A464" w14:textId="4E3EE36A" w:rsidR="00787E4B" w:rsidRPr="00787E4B" w:rsidRDefault="00787E4B" w:rsidP="00787E4B">
            <w:pPr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lastRenderedPageBreak/>
              <w:t>Op.</w:t>
            </w:r>
          </w:p>
          <w:p w14:paraId="3B77CFC0" w14:textId="55366827" w:rsidR="00787E4B" w:rsidRPr="00787E4B" w:rsidRDefault="00787E4B" w:rsidP="00787E4B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787E4B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(1op.= 96 reakcji)</w:t>
            </w:r>
          </w:p>
        </w:tc>
        <w:tc>
          <w:tcPr>
            <w:tcW w:w="1418" w:type="dxa"/>
          </w:tcPr>
          <w:p w14:paraId="7E69CFE3" w14:textId="252E8C68" w:rsidR="00787E4B" w:rsidRPr="00787E4B" w:rsidRDefault="00787E4B" w:rsidP="0084520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87E4B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5 </w:t>
            </w:r>
            <w:r w:rsidRPr="00787E4B">
              <w:rPr>
                <w:rFonts w:asciiTheme="majorHAnsi" w:hAnsiTheme="majorHAnsi" w:cstheme="majorHAnsi"/>
                <w:sz w:val="24"/>
                <w:szCs w:val="24"/>
              </w:rPr>
              <w:t>opakowań</w:t>
            </w:r>
          </w:p>
        </w:tc>
        <w:tc>
          <w:tcPr>
            <w:tcW w:w="1559" w:type="dxa"/>
          </w:tcPr>
          <w:p w14:paraId="3C59412F" w14:textId="7DFCC54F" w:rsidR="00787E4B" w:rsidRPr="00787E4B" w:rsidRDefault="00787E4B" w:rsidP="0084520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211A187D" w14:textId="77777777" w:rsidR="00787E4B" w:rsidRPr="00787E4B" w:rsidRDefault="00787E4B" w:rsidP="0084520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1C334735" w14:textId="150FFAED" w:rsidR="00787E4B" w:rsidRPr="00787E4B" w:rsidRDefault="00787E4B" w:rsidP="0084520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23344A69" w14:textId="29076826" w:rsidR="00787E4B" w:rsidRPr="00787E4B" w:rsidRDefault="00787E4B" w:rsidP="0084520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666" w:type="dxa"/>
          </w:tcPr>
          <w:p w14:paraId="50650ED0" w14:textId="1D2AEDFC" w:rsidR="00787E4B" w:rsidRPr="00787E4B" w:rsidRDefault="00787E4B" w:rsidP="0084520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E1D2F" w:rsidRPr="00787E4B" w14:paraId="40E2ACEC" w14:textId="4FF61A21" w:rsidTr="00153EC8">
        <w:tc>
          <w:tcPr>
            <w:tcW w:w="704" w:type="dxa"/>
          </w:tcPr>
          <w:p w14:paraId="0385B235" w14:textId="79B85825" w:rsidR="00CE1D2F" w:rsidRPr="00787E4B" w:rsidRDefault="00CE1D2F" w:rsidP="00787E4B">
            <w:pPr>
              <w:pStyle w:val="Akapitzlist"/>
              <w:numPr>
                <w:ilvl w:val="0"/>
                <w:numId w:val="1"/>
              </w:numPr>
              <w:ind w:left="357" w:hanging="357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  <w:p w14:paraId="2A83C8FE" w14:textId="09F328C9" w:rsidR="00CE1D2F" w:rsidRPr="00787E4B" w:rsidRDefault="00CE1D2F" w:rsidP="00787E4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</w:tcPr>
          <w:p w14:paraId="4E6EC2E0" w14:textId="77777777" w:rsidR="00CE1D2F" w:rsidRDefault="00CE1D2F" w:rsidP="00787E4B">
            <w:pPr>
              <w:rPr>
                <w:rFonts w:asciiTheme="majorHAnsi" w:eastAsia="Times New Roman" w:hAnsiTheme="majorHAnsi" w:cstheme="majorHAnsi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787E4B">
              <w:rPr>
                <w:rFonts w:asciiTheme="majorHAnsi" w:hAnsiTheme="majorHAnsi" w:cstheme="majorHAnsi"/>
                <w:b/>
                <w:sz w:val="24"/>
                <w:szCs w:val="24"/>
              </w:rPr>
              <w:t>Ligation</w:t>
            </w:r>
            <w:proofErr w:type="spellEnd"/>
            <w:r w:rsidRPr="00787E4B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787E4B">
              <w:rPr>
                <w:rFonts w:asciiTheme="majorHAnsi" w:hAnsiTheme="majorHAnsi" w:cstheme="majorHAnsi"/>
                <w:b/>
                <w:sz w:val="24"/>
                <w:szCs w:val="24"/>
              </w:rPr>
              <w:t>Sequencing</w:t>
            </w:r>
            <w:proofErr w:type="spellEnd"/>
            <w:r w:rsidRPr="00787E4B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Kit V14 (nr katalogowy 1O-SQKLSK114) </w:t>
            </w:r>
            <w:r w:rsidRPr="00787E4B">
              <w:rPr>
                <w:rFonts w:asciiTheme="majorHAnsi" w:eastAsia="Times New Roman" w:hAnsiTheme="majorHAnsi" w:cstheme="majorHAnsi"/>
                <w:b/>
                <w:color w:val="000000"/>
                <w:sz w:val="24"/>
                <w:szCs w:val="24"/>
                <w:lang w:eastAsia="pl-PL"/>
              </w:rPr>
              <w:t>lub równoważny</w:t>
            </w:r>
          </w:p>
          <w:p w14:paraId="6AA16521" w14:textId="0A36E212" w:rsidR="00CE1D2F" w:rsidRPr="00787E4B" w:rsidRDefault="00CE1D2F" w:rsidP="00787E4B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Zestaw służący do przygotowania bibliotek z materiału </w:t>
            </w:r>
            <w:proofErr w:type="spellStart"/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dsDNA</w:t>
            </w:r>
            <w:proofErr w:type="spellEnd"/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(dwuniciowe DNA) do sekwencjonowania na sekwenatorze PromethION24 (ONT). PCR nie jest wymagany.</w:t>
            </w:r>
          </w:p>
          <w:p w14:paraId="1CC2877A" w14:textId="4CB18B4A" w:rsidR="00CE1D2F" w:rsidRPr="00787E4B" w:rsidRDefault="00CE1D2F" w:rsidP="00787E4B">
            <w:pPr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Równoważność oznacza, że zaproponowany odczynnik  jest kompatybilny z aparatem </w:t>
            </w:r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lastRenderedPageBreak/>
              <w:t>PromethION24 (ONT) i spełnia opisane wymagania.</w:t>
            </w:r>
          </w:p>
        </w:tc>
        <w:tc>
          <w:tcPr>
            <w:tcW w:w="1417" w:type="dxa"/>
          </w:tcPr>
          <w:p w14:paraId="5D7F1620" w14:textId="77777777" w:rsidR="00CE1D2F" w:rsidRPr="00787E4B" w:rsidRDefault="00CE1D2F" w:rsidP="00787E4B">
            <w:pPr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lastRenderedPageBreak/>
              <w:t>Op.</w:t>
            </w:r>
          </w:p>
          <w:p w14:paraId="6DD40692" w14:textId="36D4E957" w:rsidR="00CE1D2F" w:rsidRPr="00787E4B" w:rsidRDefault="00CE1D2F" w:rsidP="00787E4B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shd w:val="clear" w:color="auto" w:fill="FFFFFF"/>
              </w:rPr>
            </w:pPr>
            <w:r w:rsidRPr="00787E4B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(1op.= 6 reakcji)</w:t>
            </w:r>
          </w:p>
        </w:tc>
        <w:tc>
          <w:tcPr>
            <w:tcW w:w="1418" w:type="dxa"/>
          </w:tcPr>
          <w:p w14:paraId="7A0CF22A" w14:textId="29365E17" w:rsidR="00CE1D2F" w:rsidRPr="00787E4B" w:rsidRDefault="00CE1D2F" w:rsidP="00787E4B">
            <w:pPr>
              <w:rPr>
                <w:rFonts w:asciiTheme="majorHAnsi" w:eastAsia="Times New Roman" w:hAnsiTheme="majorHAnsi" w:cstheme="majorHAnsi"/>
                <w:sz w:val="24"/>
                <w:szCs w:val="24"/>
                <w:lang w:val="en-US" w:eastAsia="pl-PL"/>
              </w:rPr>
            </w:pPr>
            <w:r w:rsidRPr="00787E4B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4</w:t>
            </w:r>
            <w:r w:rsidRPr="00787E4B">
              <w:rPr>
                <w:rFonts w:asciiTheme="majorHAnsi" w:hAnsiTheme="majorHAnsi" w:cstheme="majorHAnsi"/>
                <w:sz w:val="24"/>
                <w:szCs w:val="24"/>
              </w:rPr>
              <w:t xml:space="preserve"> opakowania</w:t>
            </w:r>
          </w:p>
        </w:tc>
        <w:tc>
          <w:tcPr>
            <w:tcW w:w="1559" w:type="dxa"/>
          </w:tcPr>
          <w:p w14:paraId="5DB34172" w14:textId="44797992" w:rsidR="00CE1D2F" w:rsidRPr="00787E4B" w:rsidRDefault="00CE1D2F" w:rsidP="00787E4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48C0E889" w14:textId="77777777" w:rsidR="00CE1D2F" w:rsidRPr="00787E4B" w:rsidRDefault="00CE1D2F" w:rsidP="00787E4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7E546092" w14:textId="012A2458" w:rsidR="00CE1D2F" w:rsidRPr="00787E4B" w:rsidRDefault="00CE1D2F" w:rsidP="00787E4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246BF25D" w14:textId="763F8814" w:rsidR="00CE1D2F" w:rsidRPr="00787E4B" w:rsidRDefault="00CE1D2F" w:rsidP="00787E4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666" w:type="dxa"/>
          </w:tcPr>
          <w:p w14:paraId="2F55324A" w14:textId="665AD519" w:rsidR="00CE1D2F" w:rsidRPr="00787E4B" w:rsidRDefault="00CE1D2F" w:rsidP="00787E4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E1D2F" w:rsidRPr="00787E4B" w14:paraId="5D03CDEF" w14:textId="7277139A" w:rsidTr="00153EC8">
        <w:tc>
          <w:tcPr>
            <w:tcW w:w="704" w:type="dxa"/>
          </w:tcPr>
          <w:p w14:paraId="5310B2E6" w14:textId="5C95A32A" w:rsidR="00CE1D2F" w:rsidRPr="00787E4B" w:rsidRDefault="00CE1D2F" w:rsidP="00787E4B">
            <w:pPr>
              <w:pStyle w:val="Akapitzlist"/>
              <w:numPr>
                <w:ilvl w:val="0"/>
                <w:numId w:val="1"/>
              </w:numPr>
              <w:ind w:left="357" w:hanging="357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</w:tcPr>
          <w:p w14:paraId="77F71F53" w14:textId="77777777" w:rsidR="00CE1D2F" w:rsidRDefault="00CE1D2F" w:rsidP="00CE1D2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CE1D2F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Direct RNA </w:t>
            </w:r>
            <w:proofErr w:type="spellStart"/>
            <w:r w:rsidRPr="00CE1D2F">
              <w:rPr>
                <w:rFonts w:asciiTheme="majorHAnsi" w:hAnsiTheme="majorHAnsi" w:cstheme="majorHAnsi"/>
                <w:b/>
                <w:sz w:val="24"/>
                <w:szCs w:val="24"/>
              </w:rPr>
              <w:t>Sequencing</w:t>
            </w:r>
            <w:proofErr w:type="spellEnd"/>
            <w:r w:rsidRPr="00CE1D2F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Kit XL (nr katalogowy 1O-SQKRNA004-XL)</w:t>
            </w:r>
            <w:r w:rsidRPr="00CE1D2F">
              <w:rPr>
                <w:rFonts w:asciiTheme="majorHAnsi" w:eastAsia="Times New Roman" w:hAnsiTheme="majorHAnsi" w:cstheme="majorHAnsi"/>
                <w:b/>
                <w:color w:val="000000"/>
                <w:sz w:val="24"/>
                <w:szCs w:val="24"/>
                <w:lang w:eastAsia="pl-PL"/>
              </w:rPr>
              <w:t xml:space="preserve"> lub równoważny</w:t>
            </w:r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</w:t>
            </w:r>
          </w:p>
          <w:p w14:paraId="1780FA0F" w14:textId="5E79A724" w:rsidR="00CE1D2F" w:rsidRPr="00787E4B" w:rsidRDefault="00CE1D2F" w:rsidP="00CE1D2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Zestaw służący do przygotowania bibliotek z materiału RNA bez konieczności konwersji na </w:t>
            </w:r>
            <w:proofErr w:type="spellStart"/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cDNA</w:t>
            </w:r>
            <w:proofErr w:type="spellEnd"/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. Zestaw zawiera 48 reakcji. </w:t>
            </w:r>
          </w:p>
          <w:p w14:paraId="42AC013D" w14:textId="4A05BD22" w:rsidR="00CE1D2F" w:rsidRPr="00CE1D2F" w:rsidRDefault="00CE1D2F" w:rsidP="00CE1D2F">
            <w:pPr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Równoważność oznacza, że zaproponowany odczynnik  jest kompatybilny z aparatem PromethION24 (ONT) i spełnia opisane wymagania.</w:t>
            </w:r>
          </w:p>
        </w:tc>
        <w:tc>
          <w:tcPr>
            <w:tcW w:w="1417" w:type="dxa"/>
          </w:tcPr>
          <w:p w14:paraId="2155F797" w14:textId="77777777" w:rsidR="00CE1D2F" w:rsidRPr="00787E4B" w:rsidRDefault="00CE1D2F" w:rsidP="00CE1D2F">
            <w:pPr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Op.</w:t>
            </w:r>
          </w:p>
          <w:p w14:paraId="5BB85946" w14:textId="75328D6B" w:rsidR="00CE1D2F" w:rsidRPr="00787E4B" w:rsidRDefault="00CE1D2F" w:rsidP="00CE1D2F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shd w:val="clear" w:color="auto" w:fill="FFFFFF"/>
              </w:rPr>
            </w:pPr>
            <w:r w:rsidRPr="00787E4B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 xml:space="preserve">(1op.= </w:t>
            </w:r>
            <w:r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 xml:space="preserve">48 </w:t>
            </w:r>
            <w:r w:rsidRPr="00787E4B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reakcji)</w:t>
            </w:r>
          </w:p>
        </w:tc>
        <w:tc>
          <w:tcPr>
            <w:tcW w:w="1418" w:type="dxa"/>
          </w:tcPr>
          <w:p w14:paraId="4A45C3A5" w14:textId="11946844" w:rsidR="00CE1D2F" w:rsidRPr="00787E4B" w:rsidRDefault="00CE1D2F" w:rsidP="00787E4B">
            <w:pPr>
              <w:rPr>
                <w:rFonts w:asciiTheme="majorHAnsi" w:eastAsia="Times New Roman" w:hAnsiTheme="majorHAnsi" w:cstheme="majorHAnsi"/>
                <w:sz w:val="24"/>
                <w:szCs w:val="24"/>
                <w:lang w:val="en-US" w:eastAsia="pl-PL"/>
              </w:rPr>
            </w:pPr>
            <w:r w:rsidRPr="00787E4B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 opakowania</w:t>
            </w:r>
          </w:p>
        </w:tc>
        <w:tc>
          <w:tcPr>
            <w:tcW w:w="1559" w:type="dxa"/>
          </w:tcPr>
          <w:p w14:paraId="716F7C63" w14:textId="743F9F58" w:rsidR="00CE1D2F" w:rsidRPr="00787E4B" w:rsidRDefault="00CE1D2F" w:rsidP="00787E4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0B57BA9B" w14:textId="77777777" w:rsidR="00CE1D2F" w:rsidRPr="00787E4B" w:rsidRDefault="00CE1D2F" w:rsidP="00787E4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3FBA3419" w14:textId="2BA59BD3" w:rsidR="00CE1D2F" w:rsidRPr="00787E4B" w:rsidRDefault="00CE1D2F" w:rsidP="00787E4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4260BDFE" w14:textId="0609C43E" w:rsidR="00CE1D2F" w:rsidRPr="00787E4B" w:rsidRDefault="00CE1D2F" w:rsidP="00787E4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666" w:type="dxa"/>
          </w:tcPr>
          <w:p w14:paraId="5D37E92A" w14:textId="40B8291E" w:rsidR="00CE1D2F" w:rsidRPr="00787E4B" w:rsidRDefault="00CE1D2F" w:rsidP="00787E4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E1D2F" w:rsidRPr="00787E4B" w14:paraId="29441FF2" w14:textId="44F8D197" w:rsidTr="00153EC8">
        <w:tc>
          <w:tcPr>
            <w:tcW w:w="704" w:type="dxa"/>
          </w:tcPr>
          <w:p w14:paraId="76004048" w14:textId="0570AB22" w:rsidR="00CE1D2F" w:rsidRPr="00CE1D2F" w:rsidRDefault="00CE1D2F" w:rsidP="00CE1D2F">
            <w:pPr>
              <w:pStyle w:val="Akapitzlist"/>
              <w:numPr>
                <w:ilvl w:val="0"/>
                <w:numId w:val="1"/>
              </w:numPr>
              <w:ind w:left="0" w:firstLine="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</w:tcPr>
          <w:p w14:paraId="72AF8B09" w14:textId="77777777" w:rsidR="00CE1D2F" w:rsidRDefault="00CE1D2F" w:rsidP="00CE1D2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CE1D2F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Direct RNA </w:t>
            </w:r>
            <w:proofErr w:type="spellStart"/>
            <w:r w:rsidRPr="00CE1D2F">
              <w:rPr>
                <w:rFonts w:asciiTheme="majorHAnsi" w:hAnsiTheme="majorHAnsi" w:cstheme="majorHAnsi"/>
                <w:b/>
                <w:sz w:val="24"/>
                <w:szCs w:val="24"/>
              </w:rPr>
              <w:t>Sequencing</w:t>
            </w:r>
            <w:proofErr w:type="spellEnd"/>
            <w:r w:rsidRPr="00CE1D2F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Kit (nr katalogowy 1O-SQKRNA004)</w:t>
            </w:r>
            <w:r w:rsidRPr="00CE1D2F">
              <w:rPr>
                <w:rFonts w:asciiTheme="majorHAnsi" w:eastAsia="Times New Roman" w:hAnsiTheme="majorHAnsi" w:cstheme="majorHAnsi"/>
                <w:b/>
                <w:color w:val="000000"/>
                <w:sz w:val="24"/>
                <w:szCs w:val="24"/>
                <w:lang w:eastAsia="pl-PL"/>
              </w:rPr>
              <w:t xml:space="preserve"> lub równoważny</w:t>
            </w:r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</w:t>
            </w:r>
          </w:p>
          <w:p w14:paraId="144684DB" w14:textId="5375CAE9" w:rsidR="00CE1D2F" w:rsidRPr="00787E4B" w:rsidRDefault="00CE1D2F" w:rsidP="00CE1D2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Zestaw służący do przygotowania bibliotek z materiału RNA bez konieczności konwersji na </w:t>
            </w:r>
            <w:proofErr w:type="spellStart"/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cDNA</w:t>
            </w:r>
            <w:proofErr w:type="spellEnd"/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. Zestaw zawiera 6 reakcji. </w:t>
            </w:r>
          </w:p>
          <w:p w14:paraId="02AF1108" w14:textId="7063835F" w:rsidR="00CE1D2F" w:rsidRPr="00CE1D2F" w:rsidRDefault="00CE1D2F" w:rsidP="00CE1D2F">
            <w:pPr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Równoważność oznacza, że zaproponowany odczynnik  jest kompatybilny z aparatem PromethION24 (ONT) i spełnia opisane wymagania.</w:t>
            </w:r>
          </w:p>
        </w:tc>
        <w:tc>
          <w:tcPr>
            <w:tcW w:w="1417" w:type="dxa"/>
          </w:tcPr>
          <w:p w14:paraId="2823131A" w14:textId="77777777" w:rsidR="00CE1D2F" w:rsidRPr="00787E4B" w:rsidRDefault="00CE1D2F" w:rsidP="00CE1D2F">
            <w:pPr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Op.</w:t>
            </w:r>
          </w:p>
          <w:p w14:paraId="112D1196" w14:textId="11FC8390" w:rsidR="00CE1D2F" w:rsidRPr="00787E4B" w:rsidRDefault="00CE1D2F" w:rsidP="00CE1D2F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shd w:val="clear" w:color="auto" w:fill="FFFFFF"/>
              </w:rPr>
            </w:pPr>
            <w:r w:rsidRPr="00787E4B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 xml:space="preserve">(1op.= </w:t>
            </w:r>
            <w:r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 xml:space="preserve">6 </w:t>
            </w:r>
            <w:r w:rsidRPr="00787E4B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reakcji)</w:t>
            </w:r>
          </w:p>
        </w:tc>
        <w:tc>
          <w:tcPr>
            <w:tcW w:w="1418" w:type="dxa"/>
          </w:tcPr>
          <w:p w14:paraId="09086B62" w14:textId="6A2C03ED" w:rsidR="00CE1D2F" w:rsidRPr="00787E4B" w:rsidRDefault="00CE1D2F" w:rsidP="00787E4B">
            <w:pPr>
              <w:rPr>
                <w:rFonts w:asciiTheme="majorHAnsi" w:eastAsia="Times New Roman" w:hAnsiTheme="majorHAnsi" w:cstheme="majorHAnsi"/>
                <w:sz w:val="24"/>
                <w:szCs w:val="24"/>
                <w:lang w:val="en-US" w:eastAsia="pl-PL"/>
              </w:rPr>
            </w:pPr>
            <w:r w:rsidRPr="00787E4B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</w:t>
            </w:r>
            <w:r w:rsidRPr="00787E4B">
              <w:rPr>
                <w:rFonts w:asciiTheme="majorHAnsi" w:hAnsiTheme="majorHAnsi" w:cstheme="majorHAnsi"/>
                <w:sz w:val="24"/>
                <w:szCs w:val="24"/>
              </w:rPr>
              <w:t xml:space="preserve"> opakowanie</w:t>
            </w:r>
          </w:p>
        </w:tc>
        <w:tc>
          <w:tcPr>
            <w:tcW w:w="1559" w:type="dxa"/>
          </w:tcPr>
          <w:p w14:paraId="230C4873" w14:textId="359F8AAB" w:rsidR="00CE1D2F" w:rsidRPr="00787E4B" w:rsidRDefault="00CE1D2F" w:rsidP="00787E4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41BB0F9C" w14:textId="77777777" w:rsidR="00CE1D2F" w:rsidRPr="00787E4B" w:rsidRDefault="00CE1D2F" w:rsidP="00787E4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33A363D0" w14:textId="3F9E94B1" w:rsidR="00CE1D2F" w:rsidRPr="00787E4B" w:rsidRDefault="00CE1D2F" w:rsidP="00787E4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17061A01" w14:textId="656D780C" w:rsidR="00CE1D2F" w:rsidRPr="00787E4B" w:rsidRDefault="00CE1D2F" w:rsidP="00787E4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666" w:type="dxa"/>
          </w:tcPr>
          <w:p w14:paraId="188D65D3" w14:textId="633D97FE" w:rsidR="00CE1D2F" w:rsidRPr="00787E4B" w:rsidRDefault="00CE1D2F" w:rsidP="00787E4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E1D2F" w:rsidRPr="00787E4B" w14:paraId="2C8A2F83" w14:textId="03880C93" w:rsidTr="00153EC8">
        <w:tc>
          <w:tcPr>
            <w:tcW w:w="704" w:type="dxa"/>
          </w:tcPr>
          <w:p w14:paraId="358A5B49" w14:textId="3C3D08C0" w:rsidR="00CE1D2F" w:rsidRPr="00CE1D2F" w:rsidRDefault="00CE1D2F" w:rsidP="00CE1D2F">
            <w:pPr>
              <w:pStyle w:val="Akapitzlist"/>
              <w:numPr>
                <w:ilvl w:val="0"/>
                <w:numId w:val="1"/>
              </w:numPr>
              <w:ind w:left="0" w:firstLine="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</w:tcPr>
          <w:p w14:paraId="3F3B58B6" w14:textId="77777777" w:rsidR="00CE1D2F" w:rsidRDefault="00CE1D2F" w:rsidP="00CE1D2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CE1D2F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NEBNext</w:t>
            </w:r>
            <w:proofErr w:type="spellEnd"/>
            <w:r w:rsidRPr="00CE1D2F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 xml:space="preserve"> Companion Module v2 for Oxford Nanopore Technologies Ligation Sequencing - 96 reactions (nr katalogowy ZZ-E7672L)</w:t>
            </w:r>
            <w:r w:rsidRPr="00CE1D2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pl-PL"/>
              </w:rPr>
              <w:t xml:space="preserve"> </w:t>
            </w:r>
          </w:p>
          <w:p w14:paraId="244690C9" w14:textId="62C710C3" w:rsidR="00CE1D2F" w:rsidRPr="00787E4B" w:rsidRDefault="00CE1D2F" w:rsidP="00CE1D2F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CE1D2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lastRenderedPageBreak/>
              <w:t xml:space="preserve">Zestaw do naprawy DNA, naprawy końców i </w:t>
            </w:r>
            <w:proofErr w:type="spellStart"/>
            <w:r w:rsidRPr="00CE1D2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ligacji</w:t>
            </w:r>
            <w:proofErr w:type="spellEnd"/>
            <w:r w:rsidRPr="00CE1D2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. </w:t>
            </w:r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Kompatybilny z </w:t>
            </w:r>
            <w:r w:rsidRPr="00787E4B">
              <w:rPr>
                <w:rFonts w:asciiTheme="majorHAnsi" w:hAnsiTheme="majorHAnsi" w:cstheme="majorHAnsi"/>
                <w:sz w:val="24"/>
                <w:szCs w:val="24"/>
              </w:rPr>
              <w:t xml:space="preserve">zestawami z pozycji 3 i 4. </w:t>
            </w:r>
          </w:p>
          <w:p w14:paraId="17DCC73B" w14:textId="422D3A66" w:rsidR="00CE1D2F" w:rsidRPr="00CE1D2F" w:rsidRDefault="00CE1D2F" w:rsidP="00CE1D2F">
            <w:pPr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Równoważność oznacza, że zaproponowany odczynnik  jest kompatybilny z aparatem PromethION24 (ONT) i spełnia opisane wymagania.</w:t>
            </w:r>
          </w:p>
        </w:tc>
        <w:tc>
          <w:tcPr>
            <w:tcW w:w="1417" w:type="dxa"/>
          </w:tcPr>
          <w:p w14:paraId="7648E6E2" w14:textId="77777777" w:rsidR="00CE1D2F" w:rsidRPr="00787E4B" w:rsidRDefault="00CE1D2F" w:rsidP="00CE1D2F">
            <w:pPr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lastRenderedPageBreak/>
              <w:t>Op.</w:t>
            </w:r>
          </w:p>
          <w:p w14:paraId="0BD3CF65" w14:textId="3968D1BE" w:rsidR="00CE1D2F" w:rsidRPr="00787E4B" w:rsidRDefault="00CE1D2F" w:rsidP="00CE1D2F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shd w:val="clear" w:color="auto" w:fill="FFFFFF"/>
              </w:rPr>
            </w:pPr>
            <w:r w:rsidRPr="00787E4B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 xml:space="preserve">(1op.= </w:t>
            </w:r>
            <w:r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 xml:space="preserve">96 </w:t>
            </w:r>
            <w:r w:rsidRPr="00787E4B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reakcji)</w:t>
            </w:r>
          </w:p>
        </w:tc>
        <w:tc>
          <w:tcPr>
            <w:tcW w:w="1418" w:type="dxa"/>
          </w:tcPr>
          <w:p w14:paraId="57C80891" w14:textId="29EC9ECF" w:rsidR="00CE1D2F" w:rsidRPr="00787E4B" w:rsidRDefault="00CE1D2F" w:rsidP="00787E4B">
            <w:pPr>
              <w:rPr>
                <w:rFonts w:asciiTheme="majorHAnsi" w:eastAsia="Times New Roman" w:hAnsiTheme="majorHAnsi" w:cstheme="majorHAnsi"/>
                <w:sz w:val="24"/>
                <w:szCs w:val="24"/>
                <w:lang w:val="en-US" w:eastAsia="pl-PL"/>
              </w:rPr>
            </w:pPr>
            <w:r w:rsidRPr="00787E4B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5 opakowań</w:t>
            </w:r>
          </w:p>
        </w:tc>
        <w:tc>
          <w:tcPr>
            <w:tcW w:w="1559" w:type="dxa"/>
          </w:tcPr>
          <w:p w14:paraId="2FFD8954" w14:textId="0D43ED36" w:rsidR="00CE1D2F" w:rsidRPr="00787E4B" w:rsidRDefault="00CE1D2F" w:rsidP="00787E4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3EF12B19" w14:textId="77777777" w:rsidR="00CE1D2F" w:rsidRPr="00787E4B" w:rsidRDefault="00CE1D2F" w:rsidP="00787E4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0B0CAF09" w14:textId="4052AE30" w:rsidR="00CE1D2F" w:rsidRPr="00787E4B" w:rsidRDefault="00CE1D2F" w:rsidP="00787E4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53B97561" w14:textId="1E38FB48" w:rsidR="00CE1D2F" w:rsidRPr="00787E4B" w:rsidRDefault="00CE1D2F" w:rsidP="00787E4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666" w:type="dxa"/>
          </w:tcPr>
          <w:p w14:paraId="15570A5E" w14:textId="19A9A99F" w:rsidR="00CE1D2F" w:rsidRPr="00787E4B" w:rsidRDefault="00CE1D2F" w:rsidP="00787E4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D60C5B" w:rsidRPr="00787E4B" w14:paraId="0CA38209" w14:textId="47357D02" w:rsidTr="00153EC8">
        <w:tc>
          <w:tcPr>
            <w:tcW w:w="704" w:type="dxa"/>
          </w:tcPr>
          <w:p w14:paraId="4C4D7FD1" w14:textId="1D8B5163" w:rsidR="00D60C5B" w:rsidRPr="00D60C5B" w:rsidRDefault="00D60C5B" w:rsidP="00D60C5B">
            <w:pPr>
              <w:pStyle w:val="Akapitzlist"/>
              <w:numPr>
                <w:ilvl w:val="0"/>
                <w:numId w:val="1"/>
              </w:numPr>
              <w:ind w:left="357" w:hanging="357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</w:tcPr>
          <w:p w14:paraId="6CD34D0E" w14:textId="77777777" w:rsidR="00D60C5B" w:rsidRPr="00D60C5B" w:rsidRDefault="00D60C5B" w:rsidP="00D60C5B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D60C5B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NEBNext</w:t>
            </w:r>
            <w:proofErr w:type="spellEnd"/>
            <w:r w:rsidRPr="00D60C5B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 xml:space="preserve"> Companion Module v2 for Oxford Nanopore Technologies Ligation Sequencing - 24 reactions (nr katalogowy ZZ-E7672S) </w:t>
            </w:r>
            <w:r w:rsidRPr="00D60C5B">
              <w:rPr>
                <w:rFonts w:asciiTheme="majorHAnsi" w:eastAsia="Times New Roman" w:hAnsiTheme="majorHAnsi" w:cstheme="majorHAnsi"/>
                <w:b/>
                <w:color w:val="000000"/>
                <w:sz w:val="24"/>
                <w:szCs w:val="24"/>
                <w:lang w:val="en-US" w:eastAsia="pl-PL"/>
              </w:rPr>
              <w:t>lub równoważny</w:t>
            </w:r>
            <w:r w:rsidRPr="00D60C5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pl-PL"/>
              </w:rPr>
              <w:t xml:space="preserve"> </w:t>
            </w:r>
          </w:p>
          <w:p w14:paraId="0AD7FD67" w14:textId="01400AE0" w:rsidR="00D60C5B" w:rsidRPr="00787E4B" w:rsidRDefault="00D60C5B" w:rsidP="00D60C5B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Zestaw do naprawy DNA, naprawy końców i </w:t>
            </w:r>
            <w:proofErr w:type="spellStart"/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ligacji</w:t>
            </w:r>
            <w:proofErr w:type="spellEnd"/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. </w:t>
            </w:r>
            <w:proofErr w:type="spellStart"/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pl-PL"/>
              </w:rPr>
              <w:t>Kompatybilny</w:t>
            </w:r>
            <w:proofErr w:type="spellEnd"/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pl-PL"/>
              </w:rPr>
              <w:t xml:space="preserve"> z </w:t>
            </w:r>
            <w:r w:rsidRPr="00787E4B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Ligation Sequencing Kit V14 (ONT) </w:t>
            </w:r>
            <w:r w:rsidRPr="00787E4B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lastRenderedPageBreak/>
              <w:t xml:space="preserve">oraz Ligation Sequencing Kit XL V14 (ONT) lub </w:t>
            </w:r>
            <w:proofErr w:type="spellStart"/>
            <w:r w:rsidRPr="00787E4B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równoważnymi</w:t>
            </w:r>
            <w:proofErr w:type="spellEnd"/>
            <w:r w:rsidRPr="00787E4B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87E4B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zestawami</w:t>
            </w:r>
            <w:proofErr w:type="spellEnd"/>
            <w:r w:rsidRPr="00787E4B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. </w:t>
            </w:r>
            <w:r w:rsidRPr="00787E4B">
              <w:rPr>
                <w:rFonts w:asciiTheme="majorHAnsi" w:hAnsiTheme="majorHAnsi" w:cstheme="majorHAnsi"/>
                <w:sz w:val="24"/>
                <w:szCs w:val="24"/>
              </w:rPr>
              <w:t>Zestaw na 24 reakcje.</w:t>
            </w:r>
          </w:p>
          <w:p w14:paraId="542D5CDA" w14:textId="1B211C15" w:rsidR="00D60C5B" w:rsidRPr="00D60C5B" w:rsidRDefault="00D60C5B" w:rsidP="00D60C5B">
            <w:pPr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Równoważność oznacza, że zaproponowany odczynnik  jest kompatybilny z aparatem PromethION24 (ONT) i spełnia opisane wymagania.</w:t>
            </w:r>
          </w:p>
        </w:tc>
        <w:tc>
          <w:tcPr>
            <w:tcW w:w="1417" w:type="dxa"/>
          </w:tcPr>
          <w:p w14:paraId="04714343" w14:textId="77777777" w:rsidR="00D60C5B" w:rsidRPr="00787E4B" w:rsidRDefault="00D60C5B" w:rsidP="00D60C5B">
            <w:pPr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lastRenderedPageBreak/>
              <w:t>Op.</w:t>
            </w:r>
          </w:p>
          <w:p w14:paraId="6B4FEE8F" w14:textId="4779693B" w:rsidR="00D60C5B" w:rsidRPr="00787E4B" w:rsidRDefault="00D60C5B" w:rsidP="00D60C5B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shd w:val="clear" w:color="auto" w:fill="FFFFFF"/>
              </w:rPr>
            </w:pPr>
            <w:r w:rsidRPr="00787E4B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 xml:space="preserve">(1op.= </w:t>
            </w:r>
            <w:r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 xml:space="preserve">24 </w:t>
            </w:r>
            <w:r w:rsidRPr="00787E4B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reakcji)</w:t>
            </w:r>
          </w:p>
        </w:tc>
        <w:tc>
          <w:tcPr>
            <w:tcW w:w="1418" w:type="dxa"/>
          </w:tcPr>
          <w:p w14:paraId="747FDC35" w14:textId="0571929B" w:rsidR="00D60C5B" w:rsidRPr="00787E4B" w:rsidRDefault="00D60C5B" w:rsidP="00D60C5B">
            <w:pPr>
              <w:rPr>
                <w:rFonts w:asciiTheme="majorHAnsi" w:eastAsia="Times New Roman" w:hAnsiTheme="majorHAnsi" w:cstheme="majorHAnsi"/>
                <w:sz w:val="24"/>
                <w:szCs w:val="24"/>
                <w:lang w:val="en-US" w:eastAsia="pl-PL"/>
              </w:rPr>
            </w:pPr>
            <w:r w:rsidRPr="00787E4B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</w:t>
            </w:r>
            <w:r w:rsidRPr="00787E4B">
              <w:rPr>
                <w:rFonts w:asciiTheme="majorHAnsi" w:hAnsiTheme="majorHAnsi" w:cstheme="majorHAnsi"/>
                <w:sz w:val="24"/>
                <w:szCs w:val="24"/>
              </w:rPr>
              <w:t xml:space="preserve"> opakowanie</w:t>
            </w:r>
          </w:p>
        </w:tc>
        <w:tc>
          <w:tcPr>
            <w:tcW w:w="1559" w:type="dxa"/>
          </w:tcPr>
          <w:p w14:paraId="682FCB9F" w14:textId="74F1A0AF" w:rsidR="00D60C5B" w:rsidRPr="00787E4B" w:rsidRDefault="00D60C5B" w:rsidP="00D60C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7400C8FB" w14:textId="77777777" w:rsidR="00D60C5B" w:rsidRPr="00787E4B" w:rsidRDefault="00D60C5B" w:rsidP="00D60C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1DE6EE93" w14:textId="450F38BF" w:rsidR="00D60C5B" w:rsidRPr="00787E4B" w:rsidRDefault="00D60C5B" w:rsidP="00D60C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76FAAD36" w14:textId="00A39064" w:rsidR="00D60C5B" w:rsidRPr="00787E4B" w:rsidRDefault="00D60C5B" w:rsidP="00D60C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666" w:type="dxa"/>
          </w:tcPr>
          <w:p w14:paraId="6A098CCA" w14:textId="648D58BE" w:rsidR="00D60C5B" w:rsidRPr="00787E4B" w:rsidRDefault="00D60C5B" w:rsidP="00D60C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D60C5B" w:rsidRPr="00787E4B" w14:paraId="5882BFA9" w14:textId="0B6B2423" w:rsidTr="00153EC8">
        <w:tc>
          <w:tcPr>
            <w:tcW w:w="704" w:type="dxa"/>
          </w:tcPr>
          <w:p w14:paraId="77C03CA0" w14:textId="029A26C2" w:rsidR="00D60C5B" w:rsidRPr="00D60C5B" w:rsidRDefault="00D60C5B" w:rsidP="00D60C5B">
            <w:pPr>
              <w:pStyle w:val="Akapitzlist"/>
              <w:numPr>
                <w:ilvl w:val="0"/>
                <w:numId w:val="1"/>
              </w:numPr>
              <w:ind w:left="357" w:hanging="357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</w:tcPr>
          <w:p w14:paraId="42C5EE70" w14:textId="77777777" w:rsidR="00D60C5B" w:rsidRDefault="00D60C5B" w:rsidP="00D60C5B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D60C5B">
              <w:rPr>
                <w:rFonts w:asciiTheme="majorHAnsi" w:hAnsiTheme="majorHAnsi" w:cstheme="majorHAnsi"/>
                <w:b/>
                <w:sz w:val="24"/>
                <w:szCs w:val="24"/>
              </w:rPr>
              <w:t>Induro</w:t>
            </w:r>
            <w:proofErr w:type="spellEnd"/>
            <w:r w:rsidRPr="00D60C5B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D60C5B">
              <w:rPr>
                <w:rFonts w:asciiTheme="majorHAnsi" w:hAnsiTheme="majorHAnsi" w:cstheme="majorHAnsi"/>
                <w:b/>
                <w:sz w:val="24"/>
                <w:szCs w:val="24"/>
              </w:rPr>
              <w:t>Reverse</w:t>
            </w:r>
            <w:proofErr w:type="spellEnd"/>
            <w:r w:rsidRPr="00D60C5B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D60C5B">
              <w:rPr>
                <w:rFonts w:asciiTheme="majorHAnsi" w:hAnsiTheme="majorHAnsi" w:cstheme="majorHAnsi"/>
                <w:b/>
                <w:sz w:val="24"/>
                <w:szCs w:val="24"/>
              </w:rPr>
              <w:t>Transcriptase</w:t>
            </w:r>
            <w:proofErr w:type="spellEnd"/>
            <w:r w:rsidRPr="00D60C5B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(nr katalogowy M0681L) </w:t>
            </w:r>
            <w:r w:rsidRPr="00D60C5B">
              <w:rPr>
                <w:rFonts w:asciiTheme="majorHAnsi" w:eastAsia="Times New Roman" w:hAnsiTheme="majorHAnsi" w:cstheme="majorHAnsi"/>
                <w:b/>
                <w:color w:val="000000"/>
                <w:sz w:val="24"/>
                <w:szCs w:val="24"/>
                <w:lang w:eastAsia="pl-PL"/>
              </w:rPr>
              <w:t>lub równoważny</w:t>
            </w:r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</w:t>
            </w:r>
          </w:p>
          <w:p w14:paraId="78E107A4" w14:textId="3E591CCC" w:rsidR="00D60C5B" w:rsidRPr="00787E4B" w:rsidRDefault="00D60C5B" w:rsidP="00D60C5B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Enzym odwrotnej </w:t>
            </w:r>
            <w:proofErr w:type="spellStart"/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transkryptazy</w:t>
            </w:r>
            <w:proofErr w:type="spellEnd"/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do poprawy sekwencjonowania długich fragmentów RNA oraz </w:t>
            </w:r>
            <w:proofErr w:type="spellStart"/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cDNA</w:t>
            </w:r>
            <w:proofErr w:type="spellEnd"/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.</w:t>
            </w:r>
          </w:p>
          <w:p w14:paraId="24E2D085" w14:textId="6BEF120A" w:rsidR="00D60C5B" w:rsidRPr="00D60C5B" w:rsidRDefault="00D60C5B" w:rsidP="00D60C5B">
            <w:pPr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Równoważność oznacza, że zaproponowany odczynnik  jest kompatybilny z aparatem </w:t>
            </w:r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lastRenderedPageBreak/>
              <w:t>PromethION24 (ONT) i spełnia opisane wymagania.</w:t>
            </w:r>
          </w:p>
        </w:tc>
        <w:tc>
          <w:tcPr>
            <w:tcW w:w="1417" w:type="dxa"/>
          </w:tcPr>
          <w:p w14:paraId="2C6644AD" w14:textId="34CE29C3" w:rsidR="00D60C5B" w:rsidRPr="00787E4B" w:rsidRDefault="00D60C5B" w:rsidP="00D60C5B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lastRenderedPageBreak/>
              <w:t>Op.</w:t>
            </w:r>
          </w:p>
        </w:tc>
        <w:tc>
          <w:tcPr>
            <w:tcW w:w="1418" w:type="dxa"/>
          </w:tcPr>
          <w:p w14:paraId="6A6569D3" w14:textId="69FBBD63" w:rsidR="00D60C5B" w:rsidRPr="00787E4B" w:rsidRDefault="00D60C5B" w:rsidP="00D60C5B">
            <w:pPr>
              <w:rPr>
                <w:rFonts w:asciiTheme="majorHAnsi" w:eastAsia="Times New Roman" w:hAnsiTheme="majorHAnsi" w:cstheme="majorHAnsi"/>
                <w:sz w:val="24"/>
                <w:szCs w:val="24"/>
                <w:lang w:val="en-US" w:eastAsia="pl-PL"/>
              </w:rPr>
            </w:pPr>
            <w:r w:rsidRPr="00787E4B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8</w:t>
            </w:r>
            <w:r w:rsidRPr="00787E4B">
              <w:rPr>
                <w:rFonts w:asciiTheme="majorHAnsi" w:hAnsiTheme="majorHAnsi" w:cstheme="majorHAnsi"/>
                <w:sz w:val="24"/>
                <w:szCs w:val="24"/>
              </w:rPr>
              <w:t xml:space="preserve"> opakowań</w:t>
            </w:r>
          </w:p>
        </w:tc>
        <w:tc>
          <w:tcPr>
            <w:tcW w:w="1559" w:type="dxa"/>
          </w:tcPr>
          <w:p w14:paraId="4F99C0B5" w14:textId="238A1D5F" w:rsidR="00D60C5B" w:rsidRPr="00787E4B" w:rsidRDefault="00D60C5B" w:rsidP="00D60C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5EF52570" w14:textId="77777777" w:rsidR="00D60C5B" w:rsidRPr="00787E4B" w:rsidRDefault="00D60C5B" w:rsidP="00D60C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287D6444" w14:textId="5D2B3DF7" w:rsidR="00D60C5B" w:rsidRPr="00787E4B" w:rsidRDefault="00D60C5B" w:rsidP="00D60C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22014317" w14:textId="3F5B3141" w:rsidR="00D60C5B" w:rsidRPr="00787E4B" w:rsidRDefault="00D60C5B" w:rsidP="00D60C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666" w:type="dxa"/>
          </w:tcPr>
          <w:p w14:paraId="285604C5" w14:textId="11294822" w:rsidR="00D60C5B" w:rsidRPr="00787E4B" w:rsidRDefault="00D60C5B" w:rsidP="00D60C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D60C5B" w:rsidRPr="00787E4B" w14:paraId="04EB749B" w14:textId="0701B9EF" w:rsidTr="00153EC8">
        <w:tc>
          <w:tcPr>
            <w:tcW w:w="704" w:type="dxa"/>
          </w:tcPr>
          <w:p w14:paraId="2AFFA36B" w14:textId="1C18F752" w:rsidR="00D60C5B" w:rsidRPr="00D60C5B" w:rsidRDefault="00D60C5B" w:rsidP="00D60C5B">
            <w:pPr>
              <w:pStyle w:val="Akapitzlist"/>
              <w:numPr>
                <w:ilvl w:val="0"/>
                <w:numId w:val="1"/>
              </w:numPr>
              <w:ind w:left="357" w:hanging="357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</w:tcPr>
          <w:p w14:paraId="355F259D" w14:textId="77777777" w:rsidR="00D60C5B" w:rsidRDefault="00D60C5B" w:rsidP="00D60C5B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D60C5B">
              <w:rPr>
                <w:rFonts w:asciiTheme="majorHAnsi" w:hAnsiTheme="majorHAnsi" w:cstheme="majorHAnsi"/>
                <w:b/>
                <w:sz w:val="24"/>
                <w:szCs w:val="24"/>
              </w:rPr>
              <w:t>Deoxynucleotide</w:t>
            </w:r>
            <w:proofErr w:type="spellEnd"/>
            <w:r w:rsidRPr="00D60C5B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(</w:t>
            </w:r>
            <w:proofErr w:type="spellStart"/>
            <w:r w:rsidRPr="00D60C5B">
              <w:rPr>
                <w:rFonts w:asciiTheme="majorHAnsi" w:hAnsiTheme="majorHAnsi" w:cstheme="majorHAnsi"/>
                <w:b/>
                <w:sz w:val="24"/>
                <w:szCs w:val="24"/>
              </w:rPr>
              <w:t>dNTP</w:t>
            </w:r>
            <w:proofErr w:type="spellEnd"/>
            <w:r w:rsidRPr="00D60C5B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) Solution Mix (nr katalogowy N0447S) </w:t>
            </w:r>
            <w:r w:rsidRPr="00D60C5B">
              <w:rPr>
                <w:rFonts w:asciiTheme="majorHAnsi" w:eastAsia="Times New Roman" w:hAnsiTheme="majorHAnsi" w:cstheme="majorHAnsi"/>
                <w:b/>
                <w:color w:val="000000"/>
                <w:sz w:val="24"/>
                <w:szCs w:val="24"/>
                <w:lang w:eastAsia="pl-PL"/>
              </w:rPr>
              <w:t>lub równoważny</w:t>
            </w:r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</w:t>
            </w:r>
          </w:p>
          <w:p w14:paraId="5A5B7B31" w14:textId="1E32BB2C" w:rsidR="00D60C5B" w:rsidRPr="00787E4B" w:rsidRDefault="00D60C5B" w:rsidP="00D60C5B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Miks</w:t>
            </w:r>
            <w:proofErr w:type="spellEnd"/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ultraczystych</w:t>
            </w:r>
            <w:proofErr w:type="spellEnd"/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dATP</w:t>
            </w:r>
            <w:proofErr w:type="spellEnd"/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dCTP</w:t>
            </w:r>
            <w:proofErr w:type="spellEnd"/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dGTP</w:t>
            </w:r>
            <w:proofErr w:type="spellEnd"/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oraz </w:t>
            </w:r>
            <w:proofErr w:type="spellStart"/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dTTP</w:t>
            </w:r>
            <w:proofErr w:type="spellEnd"/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. </w:t>
            </w:r>
          </w:p>
          <w:p w14:paraId="2C2CFE5D" w14:textId="02920030" w:rsidR="00D60C5B" w:rsidRPr="00D60C5B" w:rsidRDefault="00D60C5B" w:rsidP="00D60C5B">
            <w:pPr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Równoważność oznacza, że zaproponowany odczynnik  jest kompatybilny z aparatem PromethION24 (ONT) i spełnia opisane wymagania.</w:t>
            </w:r>
          </w:p>
        </w:tc>
        <w:tc>
          <w:tcPr>
            <w:tcW w:w="1417" w:type="dxa"/>
          </w:tcPr>
          <w:p w14:paraId="5526FBFE" w14:textId="23ED15AE" w:rsidR="00D60C5B" w:rsidRPr="00787E4B" w:rsidRDefault="00D60C5B" w:rsidP="00D60C5B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Op.</w:t>
            </w:r>
          </w:p>
        </w:tc>
        <w:tc>
          <w:tcPr>
            <w:tcW w:w="1418" w:type="dxa"/>
          </w:tcPr>
          <w:p w14:paraId="539E20AE" w14:textId="51C1DCF0" w:rsidR="00D60C5B" w:rsidRPr="00787E4B" w:rsidRDefault="00D60C5B" w:rsidP="00D60C5B">
            <w:pPr>
              <w:rPr>
                <w:rFonts w:asciiTheme="majorHAnsi" w:eastAsia="Times New Roman" w:hAnsiTheme="majorHAnsi" w:cstheme="majorHAnsi"/>
                <w:sz w:val="24"/>
                <w:szCs w:val="24"/>
                <w:lang w:val="en-US" w:eastAsia="pl-PL"/>
              </w:rPr>
            </w:pPr>
            <w:r w:rsidRPr="00787E4B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</w:t>
            </w:r>
            <w:r w:rsidRPr="00787E4B">
              <w:rPr>
                <w:rFonts w:asciiTheme="majorHAnsi" w:hAnsiTheme="majorHAnsi" w:cstheme="majorHAnsi"/>
                <w:sz w:val="24"/>
                <w:szCs w:val="24"/>
              </w:rPr>
              <w:t xml:space="preserve"> opakowanie</w:t>
            </w:r>
          </w:p>
        </w:tc>
        <w:tc>
          <w:tcPr>
            <w:tcW w:w="1559" w:type="dxa"/>
          </w:tcPr>
          <w:p w14:paraId="74589224" w14:textId="46D7E488" w:rsidR="00D60C5B" w:rsidRPr="00787E4B" w:rsidRDefault="00D60C5B" w:rsidP="00D60C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0450EA77" w14:textId="77777777" w:rsidR="00D60C5B" w:rsidRPr="00787E4B" w:rsidRDefault="00D60C5B" w:rsidP="00D60C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564F7729" w14:textId="7DAA2B6D" w:rsidR="00D60C5B" w:rsidRPr="00787E4B" w:rsidRDefault="00D60C5B" w:rsidP="00D60C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77F37B65" w14:textId="6D7C582C" w:rsidR="00D60C5B" w:rsidRPr="00787E4B" w:rsidRDefault="00D60C5B" w:rsidP="00D60C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666" w:type="dxa"/>
          </w:tcPr>
          <w:p w14:paraId="6846BA6C" w14:textId="3F542954" w:rsidR="00D60C5B" w:rsidRPr="00787E4B" w:rsidRDefault="00D60C5B" w:rsidP="00D60C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D60C5B" w:rsidRPr="00787E4B" w14:paraId="5531370E" w14:textId="7C6AAEB4" w:rsidTr="00153EC8">
        <w:tc>
          <w:tcPr>
            <w:tcW w:w="704" w:type="dxa"/>
          </w:tcPr>
          <w:p w14:paraId="57E505CB" w14:textId="5965722D" w:rsidR="00D60C5B" w:rsidRPr="00D60C5B" w:rsidRDefault="00D60C5B" w:rsidP="00D60C5B">
            <w:pPr>
              <w:pStyle w:val="Akapitzlist"/>
              <w:numPr>
                <w:ilvl w:val="0"/>
                <w:numId w:val="1"/>
              </w:numPr>
              <w:ind w:left="357" w:hanging="357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</w:tcPr>
          <w:p w14:paraId="5905F516" w14:textId="77777777" w:rsidR="00D60C5B" w:rsidRDefault="00D60C5B" w:rsidP="00D60C5B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D60C5B">
              <w:rPr>
                <w:rFonts w:asciiTheme="majorHAnsi" w:hAnsiTheme="majorHAnsi" w:cstheme="majorHAnsi"/>
                <w:b/>
                <w:sz w:val="24"/>
                <w:szCs w:val="24"/>
              </w:rPr>
              <w:t>NEBNext</w:t>
            </w:r>
            <w:proofErr w:type="spellEnd"/>
            <w:r w:rsidRPr="00D60C5B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D60C5B">
              <w:rPr>
                <w:rFonts w:asciiTheme="majorHAnsi" w:hAnsiTheme="majorHAnsi" w:cstheme="majorHAnsi"/>
                <w:b/>
                <w:sz w:val="24"/>
                <w:szCs w:val="24"/>
              </w:rPr>
              <w:t>Quick</w:t>
            </w:r>
            <w:proofErr w:type="spellEnd"/>
            <w:r w:rsidRPr="00D60C5B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D60C5B">
              <w:rPr>
                <w:rFonts w:asciiTheme="majorHAnsi" w:hAnsiTheme="majorHAnsi" w:cstheme="majorHAnsi"/>
                <w:b/>
                <w:sz w:val="24"/>
                <w:szCs w:val="24"/>
              </w:rPr>
              <w:t>Ligation</w:t>
            </w:r>
            <w:proofErr w:type="spellEnd"/>
            <w:r w:rsidRPr="00D60C5B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D60C5B">
              <w:rPr>
                <w:rFonts w:asciiTheme="majorHAnsi" w:hAnsiTheme="majorHAnsi" w:cstheme="majorHAnsi"/>
                <w:b/>
                <w:sz w:val="24"/>
                <w:szCs w:val="24"/>
              </w:rPr>
              <w:t>Reaction</w:t>
            </w:r>
            <w:proofErr w:type="spellEnd"/>
            <w:r w:rsidRPr="00D60C5B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D60C5B">
              <w:rPr>
                <w:rFonts w:asciiTheme="majorHAnsi" w:hAnsiTheme="majorHAnsi" w:cstheme="majorHAnsi"/>
                <w:b/>
                <w:sz w:val="24"/>
                <w:szCs w:val="24"/>
              </w:rPr>
              <w:t>Buffer</w:t>
            </w:r>
            <w:proofErr w:type="spellEnd"/>
            <w:r w:rsidRPr="00D60C5B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(nr katalogowy B6058S) </w:t>
            </w:r>
            <w:r w:rsidRPr="00D60C5B">
              <w:rPr>
                <w:rFonts w:asciiTheme="majorHAnsi" w:eastAsia="Times New Roman" w:hAnsiTheme="majorHAnsi" w:cstheme="majorHAnsi"/>
                <w:b/>
                <w:color w:val="000000"/>
                <w:sz w:val="24"/>
                <w:szCs w:val="24"/>
                <w:lang w:eastAsia="pl-PL"/>
              </w:rPr>
              <w:t>lub równoważny</w:t>
            </w:r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</w:t>
            </w:r>
          </w:p>
          <w:p w14:paraId="1CE55835" w14:textId="54982901" w:rsidR="00D60C5B" w:rsidRPr="00787E4B" w:rsidRDefault="00D60C5B" w:rsidP="00D60C5B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Bufor kompatybilny z T4 DNA </w:t>
            </w:r>
            <w:proofErr w:type="spellStart"/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Ligase</w:t>
            </w:r>
            <w:proofErr w:type="spellEnd"/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(NEB, nr katalogowy </w:t>
            </w:r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lastRenderedPageBreak/>
              <w:t xml:space="preserve">M0202M) lub równorzędnym zestawem. </w:t>
            </w:r>
          </w:p>
          <w:p w14:paraId="081C3263" w14:textId="2575B682" w:rsidR="00D60C5B" w:rsidRPr="00D60C5B" w:rsidRDefault="00D60C5B" w:rsidP="00D60C5B">
            <w:pPr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Równoważność oznacza, że zaproponowany odczynnik  jest kompatybilny z aparatem PromethION24 (ONT) i spełnia opisane wymagania.</w:t>
            </w:r>
          </w:p>
        </w:tc>
        <w:tc>
          <w:tcPr>
            <w:tcW w:w="1417" w:type="dxa"/>
          </w:tcPr>
          <w:p w14:paraId="3CC5BA2F" w14:textId="27B4EFDF" w:rsidR="00D60C5B" w:rsidRPr="00787E4B" w:rsidRDefault="00D60C5B" w:rsidP="00D60C5B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lastRenderedPageBreak/>
              <w:t>Op.</w:t>
            </w:r>
          </w:p>
        </w:tc>
        <w:tc>
          <w:tcPr>
            <w:tcW w:w="1418" w:type="dxa"/>
          </w:tcPr>
          <w:p w14:paraId="08847C16" w14:textId="0944B6B7" w:rsidR="00D60C5B" w:rsidRPr="00787E4B" w:rsidRDefault="00D60C5B" w:rsidP="00D60C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87E4B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1 </w:t>
            </w:r>
            <w:r w:rsidRPr="00787E4B">
              <w:rPr>
                <w:rFonts w:asciiTheme="majorHAnsi" w:hAnsiTheme="majorHAnsi" w:cstheme="majorHAnsi"/>
                <w:sz w:val="24"/>
                <w:szCs w:val="24"/>
              </w:rPr>
              <w:t>opakowanie</w:t>
            </w:r>
          </w:p>
        </w:tc>
        <w:tc>
          <w:tcPr>
            <w:tcW w:w="1559" w:type="dxa"/>
          </w:tcPr>
          <w:p w14:paraId="5D9917C1" w14:textId="6ED747EE" w:rsidR="00D60C5B" w:rsidRPr="00787E4B" w:rsidRDefault="00D60C5B" w:rsidP="00D60C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3220E5CB" w14:textId="77777777" w:rsidR="00D60C5B" w:rsidRPr="00787E4B" w:rsidRDefault="00D60C5B" w:rsidP="00D60C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7BB4EAF2" w14:textId="2F3F8011" w:rsidR="00D60C5B" w:rsidRPr="00787E4B" w:rsidRDefault="00D60C5B" w:rsidP="00D60C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56D2AB7C" w14:textId="419B3E61" w:rsidR="00D60C5B" w:rsidRPr="00787E4B" w:rsidRDefault="00D60C5B" w:rsidP="00D60C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666" w:type="dxa"/>
          </w:tcPr>
          <w:p w14:paraId="23BD17B1" w14:textId="2A576C7E" w:rsidR="00D60C5B" w:rsidRPr="00787E4B" w:rsidRDefault="00D60C5B" w:rsidP="00D60C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D16F98" w:rsidRPr="00787E4B" w14:paraId="3A595788" w14:textId="2842B526" w:rsidTr="00153EC8">
        <w:tc>
          <w:tcPr>
            <w:tcW w:w="704" w:type="dxa"/>
          </w:tcPr>
          <w:p w14:paraId="5C19FC29" w14:textId="628A37A8" w:rsidR="00D16F98" w:rsidRPr="00D60C5B" w:rsidRDefault="00D16F98" w:rsidP="00D16F98">
            <w:pPr>
              <w:pStyle w:val="Akapitzlist"/>
              <w:numPr>
                <w:ilvl w:val="0"/>
                <w:numId w:val="1"/>
              </w:numPr>
              <w:ind w:left="0" w:firstLine="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</w:tcPr>
          <w:p w14:paraId="2E229D32" w14:textId="77777777" w:rsidR="00D16F98" w:rsidRPr="00153EC8" w:rsidRDefault="00D16F98" w:rsidP="00D60C5B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153EC8">
              <w:rPr>
                <w:rFonts w:asciiTheme="majorHAnsi" w:eastAsia="Times New Roman" w:hAnsiTheme="majorHAnsi" w:cstheme="majorHAnsi"/>
                <w:b/>
                <w:color w:val="000000"/>
                <w:sz w:val="24"/>
                <w:szCs w:val="24"/>
                <w:lang w:eastAsia="pl-PL"/>
              </w:rPr>
              <w:t xml:space="preserve">T4 DNA </w:t>
            </w:r>
            <w:proofErr w:type="spellStart"/>
            <w:r w:rsidRPr="00153EC8">
              <w:rPr>
                <w:rFonts w:asciiTheme="majorHAnsi" w:eastAsia="Times New Roman" w:hAnsiTheme="majorHAnsi" w:cstheme="majorHAnsi"/>
                <w:b/>
                <w:color w:val="000000"/>
                <w:sz w:val="24"/>
                <w:szCs w:val="24"/>
                <w:lang w:eastAsia="pl-PL"/>
              </w:rPr>
              <w:t>Ligase</w:t>
            </w:r>
            <w:proofErr w:type="spellEnd"/>
            <w:r w:rsidRPr="00153EC8">
              <w:rPr>
                <w:rFonts w:asciiTheme="majorHAnsi" w:eastAsia="Times New Roman" w:hAnsiTheme="majorHAnsi" w:cstheme="majorHAnsi"/>
                <w:b/>
                <w:color w:val="000000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153EC8">
              <w:rPr>
                <w:rFonts w:asciiTheme="majorHAnsi" w:eastAsia="Times New Roman" w:hAnsiTheme="majorHAnsi" w:cstheme="majorHAnsi"/>
                <w:b/>
                <w:color w:val="000000"/>
                <w:sz w:val="24"/>
                <w:szCs w:val="24"/>
                <w:lang w:eastAsia="pl-PL"/>
              </w:rPr>
              <w:t>conc</w:t>
            </w:r>
            <w:proofErr w:type="spellEnd"/>
            <w:r w:rsidRPr="00153EC8">
              <w:rPr>
                <w:rFonts w:asciiTheme="majorHAnsi" w:eastAsia="Times New Roman" w:hAnsiTheme="majorHAnsi" w:cstheme="majorHAnsi"/>
                <w:b/>
                <w:color w:val="000000"/>
                <w:sz w:val="24"/>
                <w:szCs w:val="24"/>
                <w:lang w:eastAsia="pl-PL"/>
              </w:rPr>
              <w:t xml:space="preserve"> (</w:t>
            </w:r>
            <w:r w:rsidRPr="00153EC8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nr katalogowy </w:t>
            </w:r>
            <w:r w:rsidRPr="00153EC8">
              <w:rPr>
                <w:rFonts w:asciiTheme="majorHAnsi" w:eastAsia="Times New Roman" w:hAnsiTheme="majorHAnsi" w:cstheme="majorHAnsi"/>
                <w:b/>
                <w:color w:val="000000"/>
                <w:sz w:val="24"/>
                <w:szCs w:val="24"/>
                <w:lang w:eastAsia="pl-PL"/>
              </w:rPr>
              <w:t>M0202M) lub równoważny</w:t>
            </w:r>
            <w:r w:rsidRPr="00153EC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</w:t>
            </w:r>
          </w:p>
          <w:p w14:paraId="2D880A42" w14:textId="00F55338" w:rsidR="00D16F98" w:rsidRPr="00153EC8" w:rsidRDefault="00D16F98" w:rsidP="00D60C5B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153EC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Ligaza do naprawy DNA, kompatybilna z </w:t>
            </w:r>
            <w:proofErr w:type="spellStart"/>
            <w:r w:rsidRPr="00153EC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Ligation</w:t>
            </w:r>
            <w:proofErr w:type="spellEnd"/>
            <w:r w:rsidRPr="00153EC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153EC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Sequencing</w:t>
            </w:r>
            <w:proofErr w:type="spellEnd"/>
            <w:r w:rsidRPr="00153EC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Kit XL V14 (ONT) lub </w:t>
            </w:r>
            <w:proofErr w:type="spellStart"/>
            <w:r w:rsidRPr="00153EC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Ligation</w:t>
            </w:r>
            <w:proofErr w:type="spellEnd"/>
            <w:r w:rsidRPr="00153EC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153EC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Sequencing</w:t>
            </w:r>
            <w:proofErr w:type="spellEnd"/>
            <w:r w:rsidRPr="00153EC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Kit XL V14 (ONT) lub </w:t>
            </w:r>
            <w:r w:rsidRPr="00153EC8">
              <w:rPr>
                <w:rFonts w:asciiTheme="majorHAnsi" w:hAnsiTheme="majorHAnsi" w:cstheme="majorHAnsi"/>
                <w:sz w:val="24"/>
                <w:szCs w:val="24"/>
              </w:rPr>
              <w:t xml:space="preserve">Direct RNA </w:t>
            </w:r>
            <w:proofErr w:type="spellStart"/>
            <w:r w:rsidRPr="00153EC8">
              <w:rPr>
                <w:rFonts w:asciiTheme="majorHAnsi" w:hAnsiTheme="majorHAnsi" w:cstheme="majorHAnsi"/>
                <w:sz w:val="24"/>
                <w:szCs w:val="24"/>
              </w:rPr>
              <w:t>Sequencing</w:t>
            </w:r>
            <w:proofErr w:type="spellEnd"/>
            <w:r w:rsidRPr="00153EC8">
              <w:rPr>
                <w:rFonts w:asciiTheme="majorHAnsi" w:hAnsiTheme="majorHAnsi" w:cstheme="majorHAnsi"/>
                <w:sz w:val="24"/>
                <w:szCs w:val="24"/>
              </w:rPr>
              <w:t xml:space="preserve"> Kit XL </w:t>
            </w:r>
            <w:r w:rsidRPr="00153EC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(ONT) </w:t>
            </w:r>
            <w:r w:rsidRPr="00153EC8">
              <w:rPr>
                <w:rFonts w:asciiTheme="majorHAnsi" w:hAnsiTheme="majorHAnsi" w:cstheme="majorHAnsi"/>
                <w:sz w:val="24"/>
                <w:szCs w:val="24"/>
              </w:rPr>
              <w:t xml:space="preserve">lub Direct RNA </w:t>
            </w:r>
            <w:proofErr w:type="spellStart"/>
            <w:r w:rsidRPr="00153EC8">
              <w:rPr>
                <w:rFonts w:asciiTheme="majorHAnsi" w:hAnsiTheme="majorHAnsi" w:cstheme="majorHAnsi"/>
                <w:sz w:val="24"/>
                <w:szCs w:val="24"/>
              </w:rPr>
              <w:t>Sequencing</w:t>
            </w:r>
            <w:proofErr w:type="spellEnd"/>
            <w:r w:rsidRPr="00153EC8">
              <w:rPr>
                <w:rFonts w:asciiTheme="majorHAnsi" w:hAnsiTheme="majorHAnsi" w:cstheme="majorHAnsi"/>
                <w:sz w:val="24"/>
                <w:szCs w:val="24"/>
              </w:rPr>
              <w:t xml:space="preserve"> Kit </w:t>
            </w:r>
            <w:r w:rsidRPr="00153EC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(ONT)</w:t>
            </w:r>
            <w:r w:rsidRPr="00153EC8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153EC8">
              <w:rPr>
                <w:rFonts w:asciiTheme="majorHAnsi" w:hAnsiTheme="majorHAnsi" w:cstheme="majorHAnsi"/>
                <w:sz w:val="24"/>
                <w:szCs w:val="24"/>
              </w:rPr>
              <w:t xml:space="preserve">bądź ich równoważnikami. </w:t>
            </w:r>
          </w:p>
          <w:p w14:paraId="6BEB9632" w14:textId="56FE485D" w:rsidR="00D16F98" w:rsidRPr="00D60C5B" w:rsidRDefault="00D16F98" w:rsidP="00D60C5B">
            <w:pPr>
              <w:rPr>
                <w:rFonts w:asciiTheme="majorHAnsi" w:eastAsia="Times New Roman" w:hAnsiTheme="majorHAnsi" w:cstheme="majorHAnsi"/>
                <w:b/>
                <w:color w:val="000000"/>
                <w:sz w:val="24"/>
                <w:szCs w:val="24"/>
                <w:lang w:eastAsia="pl-PL"/>
              </w:rPr>
            </w:pPr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lastRenderedPageBreak/>
              <w:t>Równoważność oznacza, że zaproponowany odczynnik  jest kompatybilny z aparatem PromethION24 (ONT) i spełnia opisane wymagania.</w:t>
            </w:r>
          </w:p>
        </w:tc>
        <w:tc>
          <w:tcPr>
            <w:tcW w:w="1417" w:type="dxa"/>
          </w:tcPr>
          <w:p w14:paraId="47EDEC2F" w14:textId="0899E8EB" w:rsidR="00D16F98" w:rsidRPr="00787E4B" w:rsidRDefault="00D16F98" w:rsidP="00D60C5B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lastRenderedPageBreak/>
              <w:t>Op.</w:t>
            </w:r>
          </w:p>
        </w:tc>
        <w:tc>
          <w:tcPr>
            <w:tcW w:w="1418" w:type="dxa"/>
          </w:tcPr>
          <w:p w14:paraId="0D8A8FD5" w14:textId="3CD770B0" w:rsidR="00D16F98" w:rsidRPr="00787E4B" w:rsidRDefault="00D16F98" w:rsidP="00D60C5B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pl-PL"/>
              </w:rPr>
            </w:pPr>
            <w:r w:rsidRPr="00787E4B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5</w:t>
            </w:r>
            <w:r w:rsidRPr="00787E4B">
              <w:rPr>
                <w:rFonts w:asciiTheme="majorHAnsi" w:hAnsiTheme="majorHAnsi" w:cstheme="majorHAnsi"/>
                <w:sz w:val="24"/>
                <w:szCs w:val="24"/>
              </w:rPr>
              <w:t xml:space="preserve"> opakowań</w:t>
            </w:r>
          </w:p>
        </w:tc>
        <w:tc>
          <w:tcPr>
            <w:tcW w:w="1559" w:type="dxa"/>
          </w:tcPr>
          <w:p w14:paraId="17BCA02B" w14:textId="55D123F2" w:rsidR="00D16F98" w:rsidRPr="00787E4B" w:rsidRDefault="00D16F98" w:rsidP="00D60C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61A2DC57" w14:textId="77777777" w:rsidR="00D16F98" w:rsidRPr="00787E4B" w:rsidRDefault="00D16F98" w:rsidP="00D60C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15BFA8EC" w14:textId="331C5984" w:rsidR="00D16F98" w:rsidRPr="00787E4B" w:rsidRDefault="00D16F98" w:rsidP="00D60C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6BFC07F3" w14:textId="66A652B4" w:rsidR="00D16F98" w:rsidRPr="00787E4B" w:rsidRDefault="00D16F98" w:rsidP="00D60C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666" w:type="dxa"/>
          </w:tcPr>
          <w:p w14:paraId="222C3019" w14:textId="0831DAB2" w:rsidR="00D16F98" w:rsidRPr="00787E4B" w:rsidRDefault="00D16F98" w:rsidP="00D60C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D16F98" w:rsidRPr="00787E4B" w14:paraId="53BEE499" w14:textId="143DF8E4" w:rsidTr="00153EC8">
        <w:tc>
          <w:tcPr>
            <w:tcW w:w="704" w:type="dxa"/>
          </w:tcPr>
          <w:p w14:paraId="673551FA" w14:textId="13892FA1" w:rsidR="00D16F98" w:rsidRPr="00D60C5B" w:rsidRDefault="00D16F98" w:rsidP="00D16F98">
            <w:pPr>
              <w:pStyle w:val="Akapitzlist"/>
              <w:numPr>
                <w:ilvl w:val="0"/>
                <w:numId w:val="1"/>
              </w:numPr>
              <w:ind w:left="0" w:firstLine="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</w:tcPr>
          <w:p w14:paraId="4D81E741" w14:textId="77777777" w:rsidR="00D16F98" w:rsidRDefault="00D16F98" w:rsidP="00D16F98">
            <w:pPr>
              <w:rPr>
                <w:rFonts w:asciiTheme="majorHAnsi" w:eastAsia="Times New Roman" w:hAnsiTheme="majorHAnsi" w:cstheme="majorHAnsi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D60C5B">
              <w:rPr>
                <w:rFonts w:asciiTheme="majorHAnsi" w:eastAsia="Times New Roman" w:hAnsiTheme="majorHAnsi" w:cstheme="majorHAnsi"/>
                <w:b/>
                <w:color w:val="000000"/>
                <w:sz w:val="24"/>
                <w:szCs w:val="24"/>
                <w:lang w:eastAsia="pl-PL"/>
              </w:rPr>
              <w:t>RNase</w:t>
            </w:r>
            <w:proofErr w:type="spellEnd"/>
            <w:r w:rsidRPr="00D60C5B">
              <w:rPr>
                <w:rFonts w:asciiTheme="majorHAnsi" w:eastAsia="Times New Roman" w:hAnsiTheme="majorHAnsi" w:cstheme="majorHAnsi"/>
                <w:b/>
                <w:color w:val="000000"/>
                <w:sz w:val="24"/>
                <w:szCs w:val="24"/>
                <w:lang w:eastAsia="pl-PL"/>
              </w:rPr>
              <w:t xml:space="preserve"> Inhibitor, </w:t>
            </w:r>
            <w:proofErr w:type="spellStart"/>
            <w:r w:rsidRPr="00D60C5B">
              <w:rPr>
                <w:rFonts w:asciiTheme="majorHAnsi" w:eastAsia="Times New Roman" w:hAnsiTheme="majorHAnsi" w:cstheme="majorHAnsi"/>
                <w:b/>
                <w:color w:val="000000"/>
                <w:sz w:val="24"/>
                <w:szCs w:val="24"/>
                <w:lang w:eastAsia="pl-PL"/>
              </w:rPr>
              <w:t>Murine</w:t>
            </w:r>
            <w:proofErr w:type="spellEnd"/>
            <w:r w:rsidRPr="00D60C5B">
              <w:rPr>
                <w:rFonts w:asciiTheme="majorHAnsi" w:eastAsia="Times New Roman" w:hAnsiTheme="majorHAnsi" w:cstheme="majorHAnsi"/>
                <w:b/>
                <w:color w:val="000000"/>
                <w:sz w:val="24"/>
                <w:szCs w:val="24"/>
                <w:lang w:eastAsia="pl-PL"/>
              </w:rPr>
              <w:t xml:space="preserve"> (</w:t>
            </w:r>
            <w:r w:rsidRPr="00D60C5B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nr katalogowy </w:t>
            </w:r>
            <w:r w:rsidRPr="00D60C5B">
              <w:rPr>
                <w:rFonts w:asciiTheme="majorHAnsi" w:eastAsia="Times New Roman" w:hAnsiTheme="majorHAnsi" w:cstheme="majorHAnsi"/>
                <w:b/>
                <w:color w:val="000000"/>
                <w:sz w:val="24"/>
                <w:szCs w:val="24"/>
                <w:lang w:eastAsia="pl-PL"/>
              </w:rPr>
              <w:t>M0314S) lub równoważny</w:t>
            </w:r>
          </w:p>
          <w:p w14:paraId="25924F13" w14:textId="69F87A48" w:rsidR="00D16F98" w:rsidRPr="00787E4B" w:rsidRDefault="00D16F98" w:rsidP="00D16F98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Inhibitor służący zapobieganiu degradacji RNA i zanieczyszczeniom, pochodzenia mysiego. </w:t>
            </w:r>
          </w:p>
          <w:p w14:paraId="0396CFB9" w14:textId="78F04A3D" w:rsidR="00D16F98" w:rsidRPr="00D60C5B" w:rsidRDefault="00D16F98" w:rsidP="00D16F98">
            <w:pPr>
              <w:rPr>
                <w:rFonts w:asciiTheme="majorHAnsi" w:eastAsia="Times New Roman" w:hAnsiTheme="majorHAnsi" w:cstheme="majorHAnsi"/>
                <w:b/>
                <w:color w:val="000000"/>
                <w:sz w:val="24"/>
                <w:szCs w:val="24"/>
                <w:lang w:eastAsia="pl-PL"/>
              </w:rPr>
            </w:pPr>
            <w:r w:rsidRPr="00787E4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Równoważność oznacza, że zaproponowany odczynnik  jest kompatybilny z aparatem PromethION24 (ONT) i spełnia opisane wymagania.</w:t>
            </w:r>
          </w:p>
        </w:tc>
        <w:tc>
          <w:tcPr>
            <w:tcW w:w="1417" w:type="dxa"/>
          </w:tcPr>
          <w:p w14:paraId="4BAB8EE6" w14:textId="06D44610" w:rsidR="00D16F98" w:rsidRPr="00787E4B" w:rsidRDefault="00D16F98" w:rsidP="00D16F98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Op.</w:t>
            </w:r>
          </w:p>
        </w:tc>
        <w:tc>
          <w:tcPr>
            <w:tcW w:w="1418" w:type="dxa"/>
          </w:tcPr>
          <w:p w14:paraId="0F95EB38" w14:textId="32D0AC07" w:rsidR="00D16F98" w:rsidRPr="00787E4B" w:rsidRDefault="00D16F98" w:rsidP="00D16F98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pl-PL"/>
              </w:rPr>
            </w:pPr>
            <w:r w:rsidRPr="00787E4B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</w:t>
            </w:r>
            <w:r w:rsidRPr="00787E4B">
              <w:rPr>
                <w:rFonts w:asciiTheme="majorHAnsi" w:hAnsiTheme="majorHAnsi" w:cstheme="majorHAnsi"/>
                <w:sz w:val="24"/>
                <w:szCs w:val="24"/>
              </w:rPr>
              <w:t xml:space="preserve"> opakowanie</w:t>
            </w:r>
          </w:p>
        </w:tc>
        <w:tc>
          <w:tcPr>
            <w:tcW w:w="1559" w:type="dxa"/>
          </w:tcPr>
          <w:p w14:paraId="056D78C6" w14:textId="13F3534F" w:rsidR="00D16F98" w:rsidRPr="00787E4B" w:rsidRDefault="00D16F98" w:rsidP="00D16F98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58592DDB" w14:textId="77777777" w:rsidR="00D16F98" w:rsidRPr="00787E4B" w:rsidRDefault="00D16F98" w:rsidP="00D16F98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09491625" w14:textId="3FEBE912" w:rsidR="00D16F98" w:rsidRPr="00787E4B" w:rsidRDefault="00D16F98" w:rsidP="00D16F98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61A5266A" w14:textId="74C01DED" w:rsidR="00D16F98" w:rsidRPr="00787E4B" w:rsidRDefault="00D16F98" w:rsidP="00D16F98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666" w:type="dxa"/>
          </w:tcPr>
          <w:p w14:paraId="2881F315" w14:textId="327FCEB8" w:rsidR="00D16F98" w:rsidRPr="00787E4B" w:rsidRDefault="00D16F98" w:rsidP="00D16F98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B068EC" w:rsidRPr="00787E4B" w14:paraId="1BE04096" w14:textId="77777777" w:rsidTr="00AD2F63">
        <w:tc>
          <w:tcPr>
            <w:tcW w:w="3823" w:type="dxa"/>
            <w:gridSpan w:val="2"/>
          </w:tcPr>
          <w:p w14:paraId="55C57AFA" w14:textId="181CE085" w:rsidR="00B068EC" w:rsidRPr="00D60C5B" w:rsidRDefault="00B068EC" w:rsidP="00D16F98">
            <w:pPr>
              <w:rPr>
                <w:rFonts w:asciiTheme="majorHAnsi" w:eastAsia="Times New Roman" w:hAnsiTheme="majorHAnsi" w:cstheme="majorHAnsi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4"/>
                <w:szCs w:val="24"/>
                <w:lang w:eastAsia="pl-PL"/>
              </w:rPr>
              <w:t>Razem</w:t>
            </w:r>
          </w:p>
        </w:tc>
        <w:tc>
          <w:tcPr>
            <w:tcW w:w="1417" w:type="dxa"/>
          </w:tcPr>
          <w:p w14:paraId="140BB2EC" w14:textId="77777777" w:rsidR="00B068EC" w:rsidRDefault="00B068EC" w:rsidP="00D16F98">
            <w:pPr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</w:tcPr>
          <w:p w14:paraId="1FDBC301" w14:textId="77777777" w:rsidR="00B068EC" w:rsidRPr="00787E4B" w:rsidRDefault="00B068EC" w:rsidP="00D16F98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4CD4CAD7" w14:textId="77777777" w:rsidR="00B068EC" w:rsidRPr="00787E4B" w:rsidRDefault="00B068EC" w:rsidP="00D16F98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1A766CE7" w14:textId="77777777" w:rsidR="00B068EC" w:rsidRPr="00787E4B" w:rsidRDefault="00B068EC" w:rsidP="00D16F98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4C3CA8BE" w14:textId="77777777" w:rsidR="00B068EC" w:rsidRPr="00787E4B" w:rsidRDefault="00B068EC" w:rsidP="00D16F98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4E225E29" w14:textId="77777777" w:rsidR="00B068EC" w:rsidRPr="00787E4B" w:rsidRDefault="00B068EC" w:rsidP="00D16F98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666" w:type="dxa"/>
          </w:tcPr>
          <w:p w14:paraId="17831C45" w14:textId="77777777" w:rsidR="00B068EC" w:rsidRPr="00787E4B" w:rsidRDefault="00B068EC" w:rsidP="00D16F98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</w:tbl>
    <w:p w14:paraId="721A6D7E" w14:textId="77777777" w:rsidR="00B068EC" w:rsidRDefault="00B068EC" w:rsidP="00D16F98"/>
    <w:p w14:paraId="395D515E" w14:textId="77777777" w:rsidR="00D16F98" w:rsidRPr="00D16F98" w:rsidRDefault="00811907" w:rsidP="00D16F98">
      <w:pPr>
        <w:rPr>
          <w:color w:val="000000"/>
          <w:sz w:val="24"/>
        </w:rPr>
      </w:pPr>
      <w:r w:rsidRPr="00D16F98">
        <w:lastRenderedPageBreak/>
        <w:t xml:space="preserve"> </w:t>
      </w:r>
      <w:r w:rsidR="00D16F98" w:rsidRPr="00D16F98">
        <w:rPr>
          <w:color w:val="000000"/>
          <w:sz w:val="24"/>
        </w:rPr>
        <w:t>Składam ofertę na wykonanie przedmiotu zamówienia w zakresie określonym powyżej na kwotę:</w:t>
      </w:r>
    </w:p>
    <w:p w14:paraId="4C074888" w14:textId="77777777" w:rsidR="00D16F98" w:rsidRPr="00D16F98" w:rsidRDefault="00D16F98" w:rsidP="00D16F98">
      <w:pPr>
        <w:rPr>
          <w:rFonts w:eastAsia="Calibri"/>
          <w:b/>
          <w:color w:val="000000"/>
          <w:sz w:val="24"/>
        </w:rPr>
      </w:pPr>
      <w:r w:rsidRPr="00D16F98">
        <w:rPr>
          <w:rFonts w:eastAsia="Calibri"/>
          <w:b/>
          <w:color w:val="000000"/>
          <w:sz w:val="24"/>
        </w:rPr>
        <w:t xml:space="preserve">                 BRUTTO: ……………………………… PLN słownie: …………………………………………………………………………..…………………..….………… PLN</w:t>
      </w:r>
    </w:p>
    <w:p w14:paraId="4E766AE3" w14:textId="77777777" w:rsidR="00D16F98" w:rsidRPr="00D16F98" w:rsidRDefault="00D16F98" w:rsidP="00D16F98">
      <w:pPr>
        <w:rPr>
          <w:rFonts w:eastAsia="Calibri"/>
          <w:b/>
          <w:color w:val="000000"/>
          <w:sz w:val="24"/>
        </w:rPr>
      </w:pPr>
      <w:r w:rsidRPr="00D16F98">
        <w:rPr>
          <w:rFonts w:eastAsia="Calibri"/>
          <w:b/>
          <w:color w:val="000000"/>
          <w:sz w:val="24"/>
        </w:rPr>
        <w:t xml:space="preserve">                 NETTO:</w:t>
      </w:r>
      <w:r w:rsidRPr="00D16F98">
        <w:rPr>
          <w:rFonts w:eastAsia="Calibri"/>
          <w:color w:val="000000"/>
          <w:sz w:val="24"/>
        </w:rPr>
        <w:t xml:space="preserve">    </w:t>
      </w:r>
      <w:r w:rsidRPr="00D16F98">
        <w:rPr>
          <w:rFonts w:eastAsia="Calibri"/>
          <w:b/>
          <w:color w:val="000000"/>
          <w:sz w:val="24"/>
        </w:rPr>
        <w:t>……………………………… PLN słownie: …………………………………………………………………………..…………………..….………… PLN</w:t>
      </w:r>
    </w:p>
    <w:p w14:paraId="2FEF6C5E" w14:textId="77777777" w:rsidR="00D16F98" w:rsidRPr="00D16F98" w:rsidRDefault="00D16F98" w:rsidP="00D16F98">
      <w:pPr>
        <w:rPr>
          <w:color w:val="000000"/>
          <w:sz w:val="24"/>
        </w:rPr>
      </w:pPr>
      <w:r w:rsidRPr="00D16F98">
        <w:rPr>
          <w:color w:val="000000"/>
          <w:sz w:val="24"/>
        </w:rPr>
        <w:t xml:space="preserve">Oświadczam, że uważam się za związanego niniejszą ofertą na okres …………….. ( min. 30 dni ) licząc od daty wyznaczonej jako termin składania ofert.  </w:t>
      </w:r>
    </w:p>
    <w:p w14:paraId="0F1D2D31" w14:textId="77777777" w:rsidR="00D16F98" w:rsidRPr="00D16F98" w:rsidRDefault="00D16F98" w:rsidP="00D16F98">
      <w:pPr>
        <w:rPr>
          <w:rFonts w:eastAsia="Calibri"/>
          <w:bCs/>
          <w:iCs/>
          <w:color w:val="000000"/>
          <w:kern w:val="2"/>
          <w:sz w:val="24"/>
          <w:lang w:eastAsia="ar-SA"/>
        </w:rPr>
      </w:pPr>
      <w:r w:rsidRPr="00D16F98">
        <w:rPr>
          <w:rFonts w:eastAsia="Calibri"/>
          <w:color w:val="000000"/>
          <w:sz w:val="24"/>
        </w:rPr>
        <w:t>Termin płatności: 30 dni licząc od daty dostarczenia Zamawiającemu prawidłowo wystawionej faktury.</w:t>
      </w:r>
    </w:p>
    <w:p w14:paraId="6D5B5883" w14:textId="77777777" w:rsidR="00D16F98" w:rsidRPr="00D16F98" w:rsidRDefault="00D16F98" w:rsidP="00D16F98">
      <w:pPr>
        <w:rPr>
          <w:rFonts w:eastAsia="Calibri"/>
          <w:bCs/>
          <w:iCs/>
          <w:color w:val="000000"/>
          <w:kern w:val="2"/>
          <w:sz w:val="24"/>
          <w:lang w:eastAsia="ar-SA"/>
        </w:rPr>
      </w:pPr>
      <w:r w:rsidRPr="00D16F98">
        <w:rPr>
          <w:rFonts w:eastAsia="Calibri"/>
          <w:color w:val="000000"/>
          <w:sz w:val="24"/>
        </w:rPr>
        <w:t xml:space="preserve">Termin realizacji /dostawy: zobowiązuję się do wykonywania dostaw sukcesywnych w terminie maksymalnie </w:t>
      </w:r>
      <w:r w:rsidRPr="00D16F98">
        <w:rPr>
          <w:rFonts w:eastAsia="Calibri"/>
          <w:b/>
          <w:color w:val="000000"/>
          <w:sz w:val="24"/>
        </w:rPr>
        <w:t xml:space="preserve">do…………dni roboczych, </w:t>
      </w:r>
      <w:r w:rsidRPr="00D16F98">
        <w:rPr>
          <w:rFonts w:eastAsia="Calibri"/>
          <w:color w:val="000000"/>
          <w:sz w:val="24"/>
        </w:rPr>
        <w:t>na podstawie składa</w:t>
      </w:r>
      <w:r w:rsidRPr="00D16F98">
        <w:rPr>
          <w:rFonts w:eastAsia="Calibri"/>
          <w:color w:val="000000"/>
          <w:sz w:val="24"/>
        </w:rPr>
        <w:softHyphen/>
        <w:t>nych przez Zamawiają</w:t>
      </w:r>
      <w:r w:rsidRPr="00D16F98">
        <w:rPr>
          <w:rFonts w:eastAsia="Calibri"/>
          <w:color w:val="000000"/>
          <w:sz w:val="24"/>
        </w:rPr>
        <w:softHyphen/>
        <w:t xml:space="preserve">cego zamówień ilościowo-asortymentowych, licząc bieg terminu od dnia otrzymania zamówienia Zamawiającego),  </w:t>
      </w:r>
    </w:p>
    <w:p w14:paraId="645F7DC4" w14:textId="77777777" w:rsidR="00D16F98" w:rsidRPr="00D16F98" w:rsidRDefault="00D16F98" w:rsidP="00D16F98">
      <w:pPr>
        <w:rPr>
          <w:bCs/>
          <w:iCs/>
          <w:color w:val="000000"/>
          <w:kern w:val="2"/>
          <w:sz w:val="24"/>
          <w:lang w:eastAsia="ar-SA"/>
        </w:rPr>
      </w:pPr>
      <w:r w:rsidRPr="00D16F98">
        <w:rPr>
          <w:color w:val="000000"/>
          <w:sz w:val="24"/>
        </w:rPr>
        <w:t xml:space="preserve">Oświadczam, że termin przydatności na dostarczony asortyment wynosi…………..miesięcy liczony od dnia odbioru asortymentu przez Zamawiającego. </w:t>
      </w:r>
    </w:p>
    <w:p w14:paraId="3E68C2DC" w14:textId="77777777" w:rsidR="00D16F98" w:rsidRPr="00D16F98" w:rsidRDefault="00D16F98" w:rsidP="00D16F98">
      <w:pPr>
        <w:rPr>
          <w:sz w:val="24"/>
        </w:rPr>
      </w:pPr>
      <w:r w:rsidRPr="00D16F98">
        <w:rPr>
          <w:sz w:val="24"/>
        </w:rPr>
        <w:tab/>
      </w:r>
      <w:r w:rsidRPr="00D16F98">
        <w:rPr>
          <w:sz w:val="24"/>
        </w:rPr>
        <w:tab/>
      </w:r>
      <w:r w:rsidRPr="00D16F98">
        <w:rPr>
          <w:sz w:val="24"/>
        </w:rPr>
        <w:tab/>
      </w:r>
      <w:r w:rsidRPr="00D16F98">
        <w:rPr>
          <w:sz w:val="24"/>
        </w:rPr>
        <w:tab/>
        <w:t xml:space="preserve">                  </w:t>
      </w:r>
    </w:p>
    <w:p w14:paraId="54085906" w14:textId="77777777" w:rsidR="00D16F98" w:rsidRPr="00091905" w:rsidRDefault="00D16F98" w:rsidP="00D16F98"/>
    <w:p w14:paraId="5F4C129F" w14:textId="3B1F57C0" w:rsidR="00D16F98" w:rsidRPr="00091905" w:rsidRDefault="00D16F98" w:rsidP="00D16F98">
      <w:r w:rsidRPr="00091905">
        <w:t xml:space="preserve">                  </w:t>
      </w:r>
      <w:r w:rsidR="00B068EC">
        <w:tab/>
      </w:r>
      <w:r w:rsidR="00B068EC">
        <w:tab/>
      </w:r>
      <w:r w:rsidR="00B068EC">
        <w:tab/>
      </w:r>
      <w:r w:rsidR="00B068EC">
        <w:tab/>
      </w:r>
      <w:r w:rsidR="00B068EC">
        <w:tab/>
      </w:r>
      <w:r w:rsidR="00B068EC">
        <w:tab/>
      </w:r>
      <w:r w:rsidR="00B068EC">
        <w:tab/>
      </w:r>
      <w:r w:rsidR="00B068EC">
        <w:tab/>
      </w:r>
      <w:r w:rsidR="00B068EC">
        <w:tab/>
      </w:r>
      <w:r w:rsidRPr="00091905">
        <w:t xml:space="preserve">       </w:t>
      </w:r>
      <w:r w:rsidR="00B068EC">
        <w:tab/>
        <w:t xml:space="preserve">  </w:t>
      </w:r>
      <w:r w:rsidRPr="00091905">
        <w:t>………..………………………………………</w:t>
      </w:r>
    </w:p>
    <w:p w14:paraId="047336A1" w14:textId="3AADE7CC" w:rsidR="00D16F98" w:rsidRPr="00091905" w:rsidRDefault="00D16F98" w:rsidP="00D16F98">
      <w:pPr>
        <w:rPr>
          <w:i/>
        </w:rPr>
      </w:pPr>
      <w:r w:rsidRPr="00091905">
        <w:rPr>
          <w:i/>
        </w:rPr>
        <w:t xml:space="preserve">                                          </w:t>
      </w:r>
      <w:r>
        <w:rPr>
          <w:i/>
        </w:rPr>
        <w:t xml:space="preserve">                         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 w:rsidR="00B068EC">
        <w:rPr>
          <w:i/>
        </w:rPr>
        <w:tab/>
      </w:r>
      <w:r w:rsidRPr="00091905">
        <w:rPr>
          <w:i/>
        </w:rPr>
        <w:t xml:space="preserve"> (czytelny podpis lub podpis z pieczątką imienną</w:t>
      </w:r>
    </w:p>
    <w:p w14:paraId="5303824C" w14:textId="77777777" w:rsidR="00D16F98" w:rsidRPr="00091905" w:rsidRDefault="00D16F98" w:rsidP="00D16F98">
      <w:pPr>
        <w:rPr>
          <w:i/>
        </w:rPr>
      </w:pPr>
      <w:r w:rsidRPr="00091905">
        <w:rPr>
          <w:i/>
          <w:iCs/>
        </w:rPr>
        <w:t xml:space="preserve">                                                                       </w:t>
      </w:r>
      <w:r w:rsidRPr="00091905">
        <w:rPr>
          <w:i/>
          <w:iCs/>
        </w:rPr>
        <w:tab/>
      </w:r>
      <w:r w:rsidRPr="00091905">
        <w:rPr>
          <w:i/>
          <w:iCs/>
        </w:rPr>
        <w:tab/>
      </w:r>
      <w:r w:rsidRPr="00091905">
        <w:rPr>
          <w:i/>
          <w:iCs/>
        </w:rPr>
        <w:tab/>
      </w:r>
      <w:r w:rsidRPr="00091905">
        <w:rPr>
          <w:i/>
          <w:iCs/>
        </w:rPr>
        <w:tab/>
      </w:r>
      <w:r w:rsidRPr="00091905">
        <w:rPr>
          <w:i/>
          <w:iCs/>
        </w:rPr>
        <w:tab/>
      </w:r>
      <w:r w:rsidRPr="00091905">
        <w:rPr>
          <w:i/>
          <w:iCs/>
        </w:rPr>
        <w:tab/>
      </w:r>
      <w:r w:rsidRPr="00091905">
        <w:rPr>
          <w:i/>
          <w:iCs/>
        </w:rPr>
        <w:tab/>
        <w:t xml:space="preserve">  osoby/osób upoważnionej/upoważnionych</w:t>
      </w:r>
    </w:p>
    <w:p w14:paraId="48AA8636" w14:textId="77777777" w:rsidR="00D16F98" w:rsidRPr="00DA6775" w:rsidRDefault="00D16F98" w:rsidP="00D16F98">
      <w:pPr>
        <w:rPr>
          <w:i/>
        </w:rPr>
      </w:pPr>
      <w:r w:rsidRPr="00091905">
        <w:rPr>
          <w:i/>
        </w:rPr>
        <w:lastRenderedPageBreak/>
        <w:t xml:space="preserve">                                                                   </w:t>
      </w:r>
      <w:r w:rsidRPr="00091905">
        <w:rPr>
          <w:i/>
        </w:rPr>
        <w:tab/>
      </w:r>
      <w:r w:rsidRPr="00091905">
        <w:rPr>
          <w:i/>
        </w:rPr>
        <w:tab/>
      </w:r>
      <w:r w:rsidRPr="00091905">
        <w:rPr>
          <w:i/>
        </w:rPr>
        <w:tab/>
      </w:r>
      <w:r w:rsidRPr="00091905">
        <w:rPr>
          <w:i/>
        </w:rPr>
        <w:tab/>
      </w:r>
      <w:r w:rsidRPr="00091905">
        <w:rPr>
          <w:i/>
        </w:rPr>
        <w:tab/>
      </w:r>
      <w:r w:rsidRPr="00091905">
        <w:rPr>
          <w:i/>
        </w:rPr>
        <w:tab/>
      </w:r>
      <w:r w:rsidRPr="00091905">
        <w:rPr>
          <w:i/>
        </w:rPr>
        <w:tab/>
        <w:t xml:space="preserve">  do reprezentowania Wykonawcy)</w:t>
      </w:r>
    </w:p>
    <w:p w14:paraId="107FC1F1" w14:textId="77777777" w:rsidR="00811907" w:rsidRPr="00B068EC" w:rsidRDefault="00811907"/>
    <w:sectPr w:rsidR="00811907" w:rsidRPr="00B068EC" w:rsidSect="008119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142421" w14:textId="77777777" w:rsidR="00E24E80" w:rsidRDefault="00E24E80" w:rsidP="00BA4024">
      <w:pPr>
        <w:spacing w:after="0" w:line="240" w:lineRule="auto"/>
      </w:pPr>
      <w:r>
        <w:separator/>
      </w:r>
    </w:p>
  </w:endnote>
  <w:endnote w:type="continuationSeparator" w:id="0">
    <w:p w14:paraId="41D948D2" w14:textId="77777777" w:rsidR="00E24E80" w:rsidRDefault="00E24E80" w:rsidP="00BA4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460F01" w14:textId="77777777" w:rsidR="00BA4024" w:rsidRDefault="00BA402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CD8447" w14:textId="77777777" w:rsidR="00BA4024" w:rsidRDefault="00BA4024" w:rsidP="00BA4024">
    <w:pPr>
      <w:pStyle w:val="Akapitzlist"/>
      <w:autoSpaceDE w:val="0"/>
      <w:autoSpaceDN w:val="0"/>
      <w:adjustRightInd w:val="0"/>
      <w:spacing w:after="0" w:line="240" w:lineRule="auto"/>
      <w:ind w:left="284"/>
      <w:jc w:val="center"/>
      <w:rPr>
        <w:rFonts w:ascii="Cambria" w:hAnsi="Cambria" w:cs="Arial"/>
        <w:i/>
        <w:iCs/>
        <w:sz w:val="16"/>
        <w:szCs w:val="16"/>
      </w:rPr>
    </w:pPr>
    <w:r w:rsidRPr="004E12A2">
      <w:rPr>
        <w:noProof/>
        <w:lang w:eastAsia="pl-PL"/>
      </w:rPr>
      <w:drawing>
        <wp:inline distT="0" distB="0" distL="0" distR="0" wp14:anchorId="28F06721" wp14:editId="29B13867">
          <wp:extent cx="1852295" cy="617220"/>
          <wp:effectExtent l="0" t="0" r="0" b="0"/>
          <wp:docPr id="157914993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2295" cy="617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58572E" w14:textId="77777777" w:rsidR="00BA4024" w:rsidRPr="00833AB7" w:rsidRDefault="00BA4024" w:rsidP="00BA4024">
    <w:pPr>
      <w:pStyle w:val="Akapitzlist"/>
      <w:autoSpaceDE w:val="0"/>
      <w:autoSpaceDN w:val="0"/>
      <w:adjustRightInd w:val="0"/>
      <w:spacing w:after="0" w:line="240" w:lineRule="auto"/>
      <w:ind w:left="284"/>
      <w:jc w:val="center"/>
      <w:rPr>
        <w:rFonts w:ascii="Cambria" w:hAnsi="Cambria" w:cs="Arial"/>
        <w:i/>
        <w:iCs/>
        <w:sz w:val="16"/>
        <w:szCs w:val="16"/>
      </w:rPr>
    </w:pPr>
    <w:r>
      <w:rPr>
        <w:rFonts w:ascii="Cambria" w:hAnsi="Cambria" w:cs="Arial"/>
        <w:i/>
        <w:iCs/>
        <w:sz w:val="16"/>
        <w:szCs w:val="16"/>
      </w:rPr>
      <w:t>Projekt finansowany</w:t>
    </w:r>
    <w:r w:rsidRPr="00833AB7">
      <w:rPr>
        <w:rFonts w:ascii="Cambria" w:hAnsi="Cambria" w:cs="Arial"/>
        <w:i/>
        <w:iCs/>
        <w:sz w:val="16"/>
        <w:szCs w:val="16"/>
      </w:rPr>
      <w:t xml:space="preserve"> przez Agencję Badań Medycznych w ramach Umowy nr </w:t>
    </w:r>
    <w:r w:rsidRPr="0055645E">
      <w:rPr>
        <w:rFonts w:ascii="Cambria" w:hAnsi="Cambria" w:cs="Arial"/>
        <w:b/>
        <w:i/>
        <w:iCs/>
        <w:sz w:val="16"/>
        <w:szCs w:val="16"/>
      </w:rPr>
      <w:t>2023/ABM/02/00011 - 00</w:t>
    </w:r>
    <w:r>
      <w:t xml:space="preserve"> </w:t>
    </w:r>
    <w:r w:rsidRPr="00833AB7">
      <w:rPr>
        <w:rFonts w:ascii="Cambria" w:hAnsi="Cambria" w:cs="Arial"/>
        <w:i/>
        <w:iCs/>
        <w:sz w:val="16"/>
        <w:szCs w:val="16"/>
      </w:rPr>
      <w:t xml:space="preserve">o dofinansowanie projektu </w:t>
    </w:r>
    <w:r w:rsidRPr="0055645E">
      <w:rPr>
        <w:rFonts w:ascii="Cambria" w:hAnsi="Cambria" w:cs="Arial"/>
        <w:i/>
        <w:iCs/>
        <w:sz w:val="16"/>
        <w:szCs w:val="16"/>
      </w:rPr>
      <w:t>na tworzenie i rozwój Regionalnych Centrów Medycyny Cyfrowej</w:t>
    </w:r>
    <w:r w:rsidRPr="00833AB7">
      <w:rPr>
        <w:rFonts w:ascii="Cambria" w:hAnsi="Cambria" w:cs="Arial"/>
        <w:i/>
        <w:iCs/>
        <w:sz w:val="16"/>
        <w:szCs w:val="16"/>
      </w:rPr>
      <w:t xml:space="preserve"> </w:t>
    </w:r>
    <w:r>
      <w:rPr>
        <w:rFonts w:ascii="Cambria" w:hAnsi="Cambria" w:cs="Arial"/>
        <w:i/>
        <w:iCs/>
        <w:sz w:val="16"/>
        <w:szCs w:val="16"/>
      </w:rPr>
      <w:t xml:space="preserve">pn. </w:t>
    </w:r>
    <w:r w:rsidRPr="0055645E">
      <w:rPr>
        <w:rFonts w:ascii="Cambria" w:hAnsi="Cambria" w:cs="Arial"/>
        <w:i/>
        <w:iCs/>
        <w:sz w:val="16"/>
        <w:szCs w:val="16"/>
      </w:rPr>
      <w:t>„</w:t>
    </w:r>
    <w:r w:rsidRPr="0055645E">
      <w:rPr>
        <w:rFonts w:ascii="Cambria" w:hAnsi="Cambria" w:cs="Arial"/>
        <w:b/>
        <w:i/>
        <w:iCs/>
        <w:sz w:val="16"/>
        <w:szCs w:val="16"/>
      </w:rPr>
      <w:t>Regionalne Centrum Medycyny Cyfrowej w Onkologii: Innowacyjne Rozwiązania Analizy Danych i Technologii dla Inteligentnego Ekosystemu Badań nad Nowotworami</w:t>
    </w:r>
    <w:r w:rsidRPr="0055645E">
      <w:rPr>
        <w:rFonts w:ascii="Cambria" w:hAnsi="Cambria" w:cs="Arial"/>
        <w:i/>
        <w:iCs/>
        <w:sz w:val="16"/>
        <w:szCs w:val="16"/>
      </w:rPr>
      <w:t>”</w:t>
    </w:r>
  </w:p>
  <w:p w14:paraId="4315732D" w14:textId="77777777" w:rsidR="00BA4024" w:rsidRPr="00B307A9" w:rsidRDefault="00BA4024" w:rsidP="00BA4024">
    <w:pPr>
      <w:pStyle w:val="Stopka"/>
    </w:pPr>
  </w:p>
  <w:p w14:paraId="07F98E0B" w14:textId="77777777" w:rsidR="00BA4024" w:rsidRDefault="00BA402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8FA0BA" w14:textId="77777777" w:rsidR="00BA4024" w:rsidRDefault="00BA402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AC18D6" w14:textId="77777777" w:rsidR="00E24E80" w:rsidRDefault="00E24E80" w:rsidP="00BA4024">
      <w:pPr>
        <w:spacing w:after="0" w:line="240" w:lineRule="auto"/>
      </w:pPr>
      <w:r>
        <w:separator/>
      </w:r>
    </w:p>
  </w:footnote>
  <w:footnote w:type="continuationSeparator" w:id="0">
    <w:p w14:paraId="3DDF6946" w14:textId="77777777" w:rsidR="00E24E80" w:rsidRDefault="00E24E80" w:rsidP="00BA40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60E7A7" w14:textId="77777777" w:rsidR="00BA4024" w:rsidRDefault="00BA402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15C76D" w14:textId="77777777" w:rsidR="00BA4024" w:rsidRDefault="00BA4024" w:rsidP="00BA4024">
    <w:pPr>
      <w:pStyle w:val="Nagwek"/>
      <w:jc w:val="right"/>
      <w:rPr>
        <w:rFonts w:ascii="Cambria" w:hAnsi="Cambria"/>
        <w:sz w:val="14"/>
        <w:szCs w:val="14"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5DD27F8E" wp14:editId="6F7451FC">
          <wp:simplePos x="0" y="0"/>
          <wp:positionH relativeFrom="margin">
            <wp:align>left</wp:align>
          </wp:positionH>
          <wp:positionV relativeFrom="paragraph">
            <wp:posOffset>154305</wp:posOffset>
          </wp:positionV>
          <wp:extent cx="1352550" cy="737870"/>
          <wp:effectExtent l="0" t="0" r="0" b="5080"/>
          <wp:wrapSquare wrapText="bothSides"/>
          <wp:docPr id="1468471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2550" cy="737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83C92">
      <w:rPr>
        <w:rFonts w:ascii="Cambria" w:hAnsi="Cambria" w:cs="Arial"/>
        <w:noProof/>
        <w:sz w:val="14"/>
        <w:szCs w:val="14"/>
        <w:lang w:eastAsia="pl-PL"/>
      </w:rPr>
      <w:drawing>
        <wp:inline distT="0" distB="0" distL="0" distR="0" wp14:anchorId="5C7A23DC" wp14:editId="54BE9DBD">
          <wp:extent cx="1724025" cy="943610"/>
          <wp:effectExtent l="0" t="0" r="0" b="0"/>
          <wp:docPr id="485998143" name="Obraz 1" descr="Plik:ABM logo.png – Wikipedia, wolna encyklop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lik:ABM logo.png – Wikipedia, wolna encyklopedi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943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69EFE8" w14:textId="77777777" w:rsidR="00BA4024" w:rsidRDefault="00BA4024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88BB32" w14:textId="77777777" w:rsidR="00BA4024" w:rsidRDefault="00BA402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F1065"/>
    <w:multiLevelType w:val="hybridMultilevel"/>
    <w:tmpl w:val="21E83C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907"/>
    <w:rsid w:val="000172BD"/>
    <w:rsid w:val="00084325"/>
    <w:rsid w:val="000A31B3"/>
    <w:rsid w:val="000A7D59"/>
    <w:rsid w:val="000B712C"/>
    <w:rsid w:val="000D6ABC"/>
    <w:rsid w:val="00153EC8"/>
    <w:rsid w:val="0023513F"/>
    <w:rsid w:val="00277F09"/>
    <w:rsid w:val="00280739"/>
    <w:rsid w:val="0028148A"/>
    <w:rsid w:val="002825C1"/>
    <w:rsid w:val="002B4729"/>
    <w:rsid w:val="002D71F2"/>
    <w:rsid w:val="00335815"/>
    <w:rsid w:val="003934DB"/>
    <w:rsid w:val="0039444D"/>
    <w:rsid w:val="00396741"/>
    <w:rsid w:val="003E64AB"/>
    <w:rsid w:val="00407200"/>
    <w:rsid w:val="00435CF6"/>
    <w:rsid w:val="00447BC6"/>
    <w:rsid w:val="0046096F"/>
    <w:rsid w:val="004A2C88"/>
    <w:rsid w:val="005502C7"/>
    <w:rsid w:val="00583A71"/>
    <w:rsid w:val="00593EA8"/>
    <w:rsid w:val="005A5054"/>
    <w:rsid w:val="005B4419"/>
    <w:rsid w:val="005E30E1"/>
    <w:rsid w:val="00610BC2"/>
    <w:rsid w:val="00634F56"/>
    <w:rsid w:val="00662198"/>
    <w:rsid w:val="00695886"/>
    <w:rsid w:val="006B6339"/>
    <w:rsid w:val="006D0973"/>
    <w:rsid w:val="006D46E1"/>
    <w:rsid w:val="006F73E6"/>
    <w:rsid w:val="007656D6"/>
    <w:rsid w:val="00766C50"/>
    <w:rsid w:val="0077138D"/>
    <w:rsid w:val="0078773E"/>
    <w:rsid w:val="00787E4B"/>
    <w:rsid w:val="007F7A73"/>
    <w:rsid w:val="00811907"/>
    <w:rsid w:val="008245C6"/>
    <w:rsid w:val="00845209"/>
    <w:rsid w:val="0085334A"/>
    <w:rsid w:val="008570CC"/>
    <w:rsid w:val="00866824"/>
    <w:rsid w:val="00875BC1"/>
    <w:rsid w:val="008A5786"/>
    <w:rsid w:val="008B34A6"/>
    <w:rsid w:val="008B3E0A"/>
    <w:rsid w:val="00907CCB"/>
    <w:rsid w:val="009147ED"/>
    <w:rsid w:val="00951117"/>
    <w:rsid w:val="009717EE"/>
    <w:rsid w:val="009C2403"/>
    <w:rsid w:val="00A13EB6"/>
    <w:rsid w:val="00A76C49"/>
    <w:rsid w:val="00A801D2"/>
    <w:rsid w:val="00A912E4"/>
    <w:rsid w:val="00AF267C"/>
    <w:rsid w:val="00B01251"/>
    <w:rsid w:val="00B068EC"/>
    <w:rsid w:val="00B15418"/>
    <w:rsid w:val="00B545E9"/>
    <w:rsid w:val="00B54D3B"/>
    <w:rsid w:val="00B752FA"/>
    <w:rsid w:val="00BA4024"/>
    <w:rsid w:val="00BB3E6F"/>
    <w:rsid w:val="00BD03C0"/>
    <w:rsid w:val="00C348E3"/>
    <w:rsid w:val="00C64C61"/>
    <w:rsid w:val="00C67E0C"/>
    <w:rsid w:val="00C73CA5"/>
    <w:rsid w:val="00CA4BB9"/>
    <w:rsid w:val="00CE1D2F"/>
    <w:rsid w:val="00CF4637"/>
    <w:rsid w:val="00D16F98"/>
    <w:rsid w:val="00D41B69"/>
    <w:rsid w:val="00D60B7A"/>
    <w:rsid w:val="00D60C5B"/>
    <w:rsid w:val="00D70C4F"/>
    <w:rsid w:val="00DD46FC"/>
    <w:rsid w:val="00E24E80"/>
    <w:rsid w:val="00F14CA0"/>
    <w:rsid w:val="00F32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19423"/>
  <w15:chartTrackingRefBased/>
  <w15:docId w15:val="{3B8C5E7E-F330-45ED-93D4-C358FF36A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119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F7A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7A73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A4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4024"/>
  </w:style>
  <w:style w:type="paragraph" w:styleId="Stopka">
    <w:name w:val="footer"/>
    <w:basedOn w:val="Normalny"/>
    <w:link w:val="StopkaZnak"/>
    <w:uiPriority w:val="99"/>
    <w:unhideWhenUsed/>
    <w:rsid w:val="00BA4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4024"/>
  </w:style>
  <w:style w:type="paragraph" w:styleId="Akapitzlist">
    <w:name w:val="List Paragraph"/>
    <w:basedOn w:val="Normalny"/>
    <w:uiPriority w:val="34"/>
    <w:qFormat/>
    <w:rsid w:val="00BA4024"/>
    <w:pPr>
      <w:ind w:left="720"/>
      <w:contextualSpacing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66C5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66C5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66C5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6C5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6C50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F73E6"/>
    <w:pPr>
      <w:spacing w:after="0" w:line="240" w:lineRule="auto"/>
    </w:pPr>
  </w:style>
  <w:style w:type="paragraph" w:customStyle="1" w:styleId="Default">
    <w:name w:val="Default"/>
    <w:rsid w:val="00845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23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964</Words>
  <Characters>5785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Jadwiga Żebracka-Gala</dc:creator>
  <cp:keywords/>
  <dc:description/>
  <cp:lastModifiedBy>Magdalena Filipek</cp:lastModifiedBy>
  <cp:revision>2</cp:revision>
  <cp:lastPrinted>2026-02-17T09:19:00Z</cp:lastPrinted>
  <dcterms:created xsi:type="dcterms:W3CDTF">2026-02-17T09:20:00Z</dcterms:created>
  <dcterms:modified xsi:type="dcterms:W3CDTF">2026-02-17T09:20:00Z</dcterms:modified>
</cp:coreProperties>
</file>